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C37E" w14:textId="491163C3" w:rsidR="00CC17D4" w:rsidRPr="008020FE" w:rsidRDefault="000512B4" w:rsidP="00EC039D">
      <w:pPr>
        <w:pStyle w:val="1"/>
        <w:jc w:val="center"/>
        <w:rPr>
          <w:rFonts w:eastAsia="新細明體"/>
          <w:color w:val="000000" w:themeColor="text1"/>
          <w:lang w:eastAsia="zh-TW"/>
        </w:rPr>
      </w:pPr>
      <w:r w:rsidRPr="008020FE">
        <w:rPr>
          <w:color w:val="000000" w:themeColor="text1"/>
        </w:rPr>
        <w:t xml:space="preserve">InnoPad Taipei </w:t>
      </w:r>
      <w:r w:rsidRPr="008020FE">
        <w:rPr>
          <w:rFonts w:ascii="微軟正黑體" w:eastAsia="微軟正黑體" w:hAnsi="微軟正黑體" w:cs="微軟正黑體" w:hint="eastAsia"/>
          <w:color w:val="000000" w:themeColor="text1"/>
          <w:lang w:eastAsia="zh-TW"/>
        </w:rPr>
        <w:t xml:space="preserve">- </w:t>
      </w:r>
      <w:r w:rsidRPr="008020FE">
        <w:rPr>
          <w:color w:val="000000" w:themeColor="text1"/>
        </w:rPr>
        <w:t xml:space="preserve">Startup Team Residency Application Guidelines </w:t>
      </w:r>
      <w:r w:rsidR="005712FD" w:rsidRPr="008020FE">
        <w:rPr>
          <w:rStyle w:val="affc"/>
          <w:color w:val="000000" w:themeColor="text1"/>
        </w:rPr>
        <w:footnoteReference w:id="1"/>
      </w:r>
    </w:p>
    <w:p w14:paraId="1D5DAC14" w14:textId="6D2143E8" w:rsidR="000512B4" w:rsidRPr="009355B7" w:rsidRDefault="00E066E8" w:rsidP="004A5138">
      <w:pPr>
        <w:pStyle w:val="a9"/>
        <w:jc w:val="center"/>
        <w:rPr>
          <w:lang w:eastAsia="zh-TW"/>
        </w:rPr>
      </w:pPr>
      <w:r>
        <w:t>E</w:t>
      </w:r>
      <w:r w:rsidRPr="009355B7">
        <w:t>stablished on</w:t>
      </w:r>
      <w:r w:rsidR="000512B4" w:rsidRPr="009355B7">
        <w:rPr>
          <w:lang w:eastAsia="zh-TW"/>
        </w:rPr>
        <w:t xml:space="preserve"> 27 January 2026</w:t>
      </w:r>
    </w:p>
    <w:p w14:paraId="5B68ECB9" w14:textId="68CF41B1" w:rsidR="00E066E8" w:rsidRPr="008020FE" w:rsidRDefault="00E066E8" w:rsidP="004A5138">
      <w:pPr>
        <w:pStyle w:val="a9"/>
        <w:jc w:val="center"/>
        <w:rPr>
          <w:lang w:eastAsia="zh-TW"/>
        </w:rPr>
      </w:pPr>
      <w:r w:rsidRPr="009355B7">
        <w:t>Amended on</w:t>
      </w:r>
      <w:r w:rsidR="009355B7">
        <w:rPr>
          <w:rFonts w:ascii="新細明體" w:eastAsia="新細明體" w:hAnsi="新細明體" w:hint="eastAsia"/>
          <w:lang w:eastAsia="zh-TW"/>
        </w:rPr>
        <w:t xml:space="preserve"> </w:t>
      </w:r>
      <w:r w:rsidR="009355B7" w:rsidRPr="009355B7">
        <w:t>7 April</w:t>
      </w:r>
      <w:r w:rsidRPr="009355B7">
        <w:t xml:space="preserve"> 20</w:t>
      </w:r>
      <w:r>
        <w:t>26 (Article 8 and Appendix 1-1)</w:t>
      </w:r>
    </w:p>
    <w:p w14:paraId="78493D3C" w14:textId="636513F1" w:rsidR="00CC17D4" w:rsidRPr="000512B4" w:rsidRDefault="00D83365">
      <w:pPr>
        <w:pStyle w:val="21"/>
        <w:rPr>
          <w:color w:val="000000" w:themeColor="text1"/>
        </w:rPr>
      </w:pPr>
      <w:r>
        <w:rPr>
          <w:rFonts w:eastAsia="新細明體" w:hint="eastAsia"/>
          <w:color w:val="000000" w:themeColor="text1"/>
          <w:lang w:eastAsia="zh-TW"/>
        </w:rPr>
        <w:t>I</w:t>
      </w:r>
      <w:r w:rsidRPr="000512B4">
        <w:rPr>
          <w:color w:val="000000" w:themeColor="text1"/>
        </w:rPr>
        <w:t>. Purpose</w:t>
      </w:r>
    </w:p>
    <w:p w14:paraId="2CBF1EAF" w14:textId="1D25C8E6" w:rsidR="00CC17D4" w:rsidRPr="000512B4" w:rsidRDefault="002208D9">
      <w:pPr>
        <w:rPr>
          <w:color w:val="000000" w:themeColor="text1"/>
        </w:rPr>
      </w:pPr>
      <w:r w:rsidRPr="000512B4">
        <w:rPr>
          <w:color w:val="000000" w:themeColor="text1"/>
        </w:rPr>
        <w:t xml:space="preserve">The Department of Economic Development, Taipei City Government (“DOED”) operates the InnoPad Taipei (the “Hub”) to promote Taipei’s startup industry and to help promising domestic and international startup teams scale and </w:t>
      </w:r>
      <w:r w:rsidR="00B07D5B" w:rsidRPr="00B07D5B">
        <w:rPr>
          <w:color w:val="000000" w:themeColor="text1"/>
        </w:rPr>
        <w:t>expand into overseas markets</w:t>
      </w:r>
      <w:r w:rsidRPr="000512B4">
        <w:rPr>
          <w:color w:val="000000" w:themeColor="text1"/>
        </w:rPr>
        <w:t>. These Guidelines set the rules for applying to reside at the Hub and for the review, contracting, and management of residency.</w:t>
      </w:r>
    </w:p>
    <w:p w14:paraId="3B08EB07" w14:textId="2AE315C3" w:rsidR="00CC17D4" w:rsidRPr="000512B4" w:rsidRDefault="00D83365">
      <w:pPr>
        <w:pStyle w:val="21"/>
        <w:rPr>
          <w:color w:val="000000" w:themeColor="text1"/>
        </w:rPr>
      </w:pPr>
      <w:r>
        <w:rPr>
          <w:rFonts w:eastAsia="新細明體" w:hint="eastAsia"/>
          <w:color w:val="000000" w:themeColor="text1"/>
          <w:lang w:eastAsia="zh-TW"/>
        </w:rPr>
        <w:t>II</w:t>
      </w:r>
      <w:r w:rsidRPr="000512B4">
        <w:rPr>
          <w:color w:val="000000" w:themeColor="text1"/>
        </w:rPr>
        <w:t>. Recruitment Focus</w:t>
      </w:r>
    </w:p>
    <w:p w14:paraId="602D4202" w14:textId="70ADF28A" w:rsidR="00CC17D4" w:rsidRPr="000512B4" w:rsidRDefault="002208D9">
      <w:pPr>
        <w:rPr>
          <w:color w:val="000000" w:themeColor="text1"/>
        </w:rPr>
      </w:pPr>
      <w:r w:rsidRPr="000512B4">
        <w:rPr>
          <w:color w:val="000000" w:themeColor="text1"/>
        </w:rPr>
        <w:t xml:space="preserve">The Hub prioritizes startup teams with innovative technology, cross-domain applications, </w:t>
      </w:r>
      <w:r w:rsidR="00D83365" w:rsidRPr="000512B4">
        <w:rPr>
          <w:color w:val="000000" w:themeColor="text1"/>
        </w:rPr>
        <w:t xml:space="preserve">and </w:t>
      </w:r>
      <w:r w:rsidR="00B07D5B">
        <w:t>the potential to expand overseas</w:t>
      </w:r>
      <w:r w:rsidRPr="000512B4">
        <w:rPr>
          <w:color w:val="000000" w:themeColor="text1"/>
        </w:rPr>
        <w:t>. The Hub provides resource integration and network linkages to support industry upgrading and international market expansion, and to form a diversified innovation ecosystem.</w:t>
      </w:r>
    </w:p>
    <w:p w14:paraId="434A3818" w14:textId="76AF69DE" w:rsidR="00CC17D4" w:rsidRPr="000512B4" w:rsidRDefault="00D83365">
      <w:pPr>
        <w:pStyle w:val="21"/>
        <w:rPr>
          <w:color w:val="000000" w:themeColor="text1"/>
        </w:rPr>
      </w:pPr>
      <w:r>
        <w:rPr>
          <w:rFonts w:eastAsia="新細明體" w:hint="eastAsia"/>
          <w:color w:val="000000" w:themeColor="text1"/>
          <w:lang w:eastAsia="zh-TW"/>
        </w:rPr>
        <w:t>III</w:t>
      </w:r>
      <w:r w:rsidRPr="000512B4">
        <w:rPr>
          <w:color w:val="000000" w:themeColor="text1"/>
        </w:rPr>
        <w:t>. Eligibility</w:t>
      </w:r>
    </w:p>
    <w:p w14:paraId="1156C3BE" w14:textId="6FF73571" w:rsidR="00CC17D4" w:rsidRPr="007D03B8" w:rsidRDefault="002208D9">
      <w:pPr>
        <w:rPr>
          <w:rFonts w:eastAsia="新細明體"/>
          <w:color w:val="000000" w:themeColor="text1"/>
          <w:lang w:eastAsia="zh-TW"/>
        </w:rPr>
      </w:pPr>
      <w:r w:rsidRPr="000512B4">
        <w:rPr>
          <w:color w:val="000000" w:themeColor="text1"/>
        </w:rPr>
        <w:t xml:space="preserve">These Guidelines apply to both domestic and international startup teams. </w:t>
      </w:r>
      <w:r w:rsidR="007D03B8" w:rsidRPr="007D03B8">
        <w:rPr>
          <w:color w:val="000000" w:themeColor="text1"/>
        </w:rPr>
        <w:t>Eligibility requirements are as follows:</w:t>
      </w:r>
    </w:p>
    <w:p w14:paraId="48A00D64" w14:textId="1A799C6F" w:rsidR="00CC17D4" w:rsidRPr="000512B4" w:rsidRDefault="00B07D5B">
      <w:pPr>
        <w:pStyle w:val="31"/>
        <w:rPr>
          <w:color w:val="000000" w:themeColor="text1"/>
        </w:rPr>
      </w:pPr>
      <w:r>
        <w:rPr>
          <w:rFonts w:eastAsia="新細明體" w:hint="eastAsia"/>
          <w:color w:val="000000" w:themeColor="text1"/>
          <w:lang w:eastAsia="zh-TW"/>
        </w:rPr>
        <w:t>A.</w:t>
      </w:r>
      <w:r w:rsidRPr="000512B4">
        <w:rPr>
          <w:color w:val="000000" w:themeColor="text1"/>
        </w:rPr>
        <w:t xml:space="preserve"> Domestic Startup Teams</w:t>
      </w:r>
    </w:p>
    <w:p w14:paraId="3F2E861A" w14:textId="77777777" w:rsidR="00CC17D4" w:rsidRPr="000512B4" w:rsidRDefault="002208D9">
      <w:pPr>
        <w:rPr>
          <w:color w:val="000000" w:themeColor="text1"/>
        </w:rPr>
      </w:pPr>
      <w:r w:rsidRPr="000512B4">
        <w:rPr>
          <w:color w:val="000000" w:themeColor="text1"/>
        </w:rPr>
        <w:t>A domestic startup team must meet all of the following:</w:t>
      </w:r>
    </w:p>
    <w:p w14:paraId="27B3D731" w14:textId="73AE2826" w:rsidR="007D03B8" w:rsidRPr="007D03B8" w:rsidRDefault="007D03B8" w:rsidP="007D03B8">
      <w:pPr>
        <w:pStyle w:val="ae"/>
        <w:numPr>
          <w:ilvl w:val="0"/>
          <w:numId w:val="10"/>
        </w:numPr>
        <w:rPr>
          <w:color w:val="000000" w:themeColor="text1"/>
        </w:rPr>
      </w:pPr>
      <w:r w:rsidRPr="007D03B8">
        <w:rPr>
          <w:color w:val="000000" w:themeColor="text1"/>
        </w:rPr>
        <w:t>A domestic enterprise established for fewer than eight (8) years, with commercialization potential and a clear product or service development plan.</w:t>
      </w:r>
    </w:p>
    <w:p w14:paraId="1C53A722" w14:textId="6AF989BB" w:rsidR="007D03B8" w:rsidRPr="007D03B8" w:rsidRDefault="007D03B8" w:rsidP="007D03B8">
      <w:pPr>
        <w:pStyle w:val="ae"/>
        <w:numPr>
          <w:ilvl w:val="0"/>
          <w:numId w:val="10"/>
        </w:numPr>
        <w:rPr>
          <w:color w:val="000000" w:themeColor="text1"/>
        </w:rPr>
      </w:pPr>
      <w:r w:rsidRPr="007D03B8">
        <w:rPr>
          <w:color w:val="000000" w:themeColor="text1"/>
        </w:rPr>
        <w:t xml:space="preserve">Priority consideration may be given to teams that have received support from government entrepreneurship programs, </w:t>
      </w:r>
      <w:r>
        <w:rPr>
          <w:rFonts w:eastAsia="新細明體" w:hint="eastAsia"/>
          <w:color w:val="000000" w:themeColor="text1"/>
          <w:lang w:eastAsia="zh-TW"/>
        </w:rPr>
        <w:t>won</w:t>
      </w:r>
      <w:r w:rsidRPr="007D03B8">
        <w:rPr>
          <w:color w:val="000000" w:themeColor="text1"/>
        </w:rPr>
        <w:t xml:space="preserve"> </w:t>
      </w:r>
      <w:r w:rsidRPr="007D03B8">
        <w:rPr>
          <w:rFonts w:eastAsia="新細明體" w:hint="eastAsia"/>
          <w:color w:val="000000" w:themeColor="text1"/>
          <w:lang w:eastAsia="zh-TW"/>
        </w:rPr>
        <w:t>a</w:t>
      </w:r>
      <w:r w:rsidRPr="007D03B8">
        <w:rPr>
          <w:color w:val="000000" w:themeColor="text1"/>
        </w:rPr>
        <w:t>wards in domestic or international entrepreneurship competitions, or been recommended by juri</w:t>
      </w:r>
      <w:r>
        <w:rPr>
          <w:rFonts w:eastAsia="新細明體" w:hint="eastAsia"/>
          <w:color w:val="000000" w:themeColor="text1"/>
          <w:lang w:eastAsia="zh-TW"/>
        </w:rPr>
        <w:t>stic</w:t>
      </w:r>
      <w:r w:rsidRPr="007D03B8">
        <w:rPr>
          <w:color w:val="000000" w:themeColor="text1"/>
        </w:rPr>
        <w:t xml:space="preserve"> persons or venture capital institutions, with demonstrated international growth potential.</w:t>
      </w:r>
    </w:p>
    <w:p w14:paraId="5E8F7057" w14:textId="34C5C518" w:rsidR="00A53DC4" w:rsidRDefault="00A53DC4" w:rsidP="00A53DC4">
      <w:pPr>
        <w:pStyle w:val="31"/>
        <w:rPr>
          <w:rFonts w:eastAsia="新細明體"/>
          <w:color w:val="000000" w:themeColor="text1"/>
          <w:lang w:eastAsia="zh-TW"/>
        </w:rPr>
      </w:pPr>
      <w:r>
        <w:rPr>
          <w:rFonts w:eastAsia="新細明體" w:hint="eastAsia"/>
          <w:color w:val="000000" w:themeColor="text1"/>
          <w:lang w:eastAsia="zh-TW"/>
        </w:rPr>
        <w:t>B. International Startup Teams</w:t>
      </w:r>
    </w:p>
    <w:p w14:paraId="6A2978EE" w14:textId="758A87FA" w:rsidR="00CC17D4" w:rsidRPr="000512B4" w:rsidRDefault="002208D9">
      <w:pPr>
        <w:rPr>
          <w:color w:val="000000" w:themeColor="text1"/>
        </w:rPr>
      </w:pPr>
      <w:r w:rsidRPr="000512B4">
        <w:rPr>
          <w:color w:val="000000" w:themeColor="text1"/>
        </w:rPr>
        <w:t>An international startup team must meet all of the following:</w:t>
      </w:r>
    </w:p>
    <w:p w14:paraId="4DBEEA31" w14:textId="77777777" w:rsidR="00A53DC4" w:rsidRPr="00A53DC4" w:rsidRDefault="00A53DC4" w:rsidP="00A53DC4">
      <w:pPr>
        <w:pStyle w:val="ae"/>
        <w:numPr>
          <w:ilvl w:val="0"/>
          <w:numId w:val="12"/>
        </w:numPr>
        <w:rPr>
          <w:color w:val="000000" w:themeColor="text1"/>
        </w:rPr>
      </w:pPr>
      <w:r w:rsidRPr="00A53DC4">
        <w:rPr>
          <w:color w:val="000000" w:themeColor="text1"/>
        </w:rPr>
        <w:t>A foreign company in the process of being established, or established for fewer than eight (8) years, with a clear technology or product development plan and specific market expansion objectives.</w:t>
      </w:r>
    </w:p>
    <w:p w14:paraId="69A4E3A3" w14:textId="2944C178" w:rsidR="00A53DC4" w:rsidRPr="00A53DC4" w:rsidRDefault="00A53DC4" w:rsidP="00A53DC4">
      <w:pPr>
        <w:pStyle w:val="ae"/>
        <w:numPr>
          <w:ilvl w:val="0"/>
          <w:numId w:val="12"/>
        </w:numPr>
        <w:rPr>
          <w:color w:val="000000" w:themeColor="text1"/>
        </w:rPr>
      </w:pPr>
      <w:r w:rsidRPr="00A53DC4">
        <w:rPr>
          <w:color w:val="000000" w:themeColor="text1"/>
        </w:rPr>
        <w:lastRenderedPageBreak/>
        <w:t>Priority consideration may be given to teams with overseas operating and fundraising track records.</w:t>
      </w:r>
    </w:p>
    <w:p w14:paraId="4569D8CF" w14:textId="1517D061" w:rsidR="00CC17D4" w:rsidRPr="000512B4" w:rsidRDefault="00A53DC4">
      <w:pPr>
        <w:pStyle w:val="31"/>
        <w:rPr>
          <w:color w:val="000000" w:themeColor="text1"/>
        </w:rPr>
      </w:pPr>
      <w:r>
        <w:rPr>
          <w:rFonts w:eastAsia="新細明體" w:hint="eastAsia"/>
          <w:color w:val="000000" w:themeColor="text1"/>
          <w:lang w:eastAsia="zh-TW"/>
        </w:rPr>
        <w:t xml:space="preserve">C. </w:t>
      </w:r>
      <w:r w:rsidRPr="000512B4">
        <w:rPr>
          <w:color w:val="000000" w:themeColor="text1"/>
        </w:rPr>
        <w:t>Excluded Teams</w:t>
      </w:r>
    </w:p>
    <w:p w14:paraId="08AF5CBD" w14:textId="308D1AEE" w:rsidR="00CC17D4" w:rsidRPr="000512B4" w:rsidRDefault="002208D9">
      <w:pPr>
        <w:rPr>
          <w:color w:val="000000" w:themeColor="text1"/>
        </w:rPr>
      </w:pPr>
      <w:r w:rsidRPr="000512B4">
        <w:rPr>
          <w:color w:val="000000" w:themeColor="text1"/>
        </w:rPr>
        <w:t>For purposes of these Guidelines, “startup team” excludes any company that has completed an initial public offering (including emerging board, OTC, or listed) or been acquired or merged into another enterprise.</w:t>
      </w:r>
    </w:p>
    <w:p w14:paraId="4A85627A" w14:textId="6B64A035" w:rsidR="00CC17D4" w:rsidRPr="000512B4" w:rsidRDefault="00D83365">
      <w:pPr>
        <w:pStyle w:val="21"/>
        <w:rPr>
          <w:color w:val="000000" w:themeColor="text1"/>
        </w:rPr>
      </w:pPr>
      <w:r>
        <w:rPr>
          <w:rFonts w:eastAsia="新細明體" w:hint="eastAsia"/>
          <w:color w:val="000000" w:themeColor="text1"/>
          <w:lang w:eastAsia="zh-TW"/>
        </w:rPr>
        <w:t>IV</w:t>
      </w:r>
      <w:r w:rsidRPr="000512B4">
        <w:rPr>
          <w:color w:val="000000" w:themeColor="text1"/>
        </w:rPr>
        <w:t>. Required Application Materials</w:t>
      </w:r>
    </w:p>
    <w:p w14:paraId="7A1FB56A" w14:textId="132D638E" w:rsidR="00CC17D4" w:rsidRPr="000512B4" w:rsidRDefault="002208D9">
      <w:pPr>
        <w:rPr>
          <w:color w:val="000000" w:themeColor="text1"/>
        </w:rPr>
      </w:pPr>
      <w:r w:rsidRPr="000512B4">
        <w:rPr>
          <w:color w:val="000000" w:themeColor="text1"/>
        </w:rPr>
        <w:t>Unless DOED or the operating team specifies otherwise in writing, an application must include the following items.</w:t>
      </w:r>
    </w:p>
    <w:p w14:paraId="2D7F8E35" w14:textId="71CCE41B" w:rsidR="00CC17D4" w:rsidRPr="000512B4" w:rsidRDefault="002208D9" w:rsidP="00A53DC4">
      <w:pPr>
        <w:pStyle w:val="31"/>
        <w:numPr>
          <w:ilvl w:val="0"/>
          <w:numId w:val="13"/>
        </w:numPr>
        <w:rPr>
          <w:color w:val="000000" w:themeColor="text1"/>
        </w:rPr>
      </w:pPr>
      <w:r w:rsidRPr="000512B4">
        <w:rPr>
          <w:color w:val="000000" w:themeColor="text1"/>
        </w:rPr>
        <w:t>Electronic Application Package</w:t>
      </w:r>
    </w:p>
    <w:p w14:paraId="117F53E9" w14:textId="77777777" w:rsidR="00CC17D4" w:rsidRPr="000512B4" w:rsidRDefault="002208D9">
      <w:pPr>
        <w:rPr>
          <w:color w:val="000000" w:themeColor="text1"/>
        </w:rPr>
      </w:pPr>
      <w:r w:rsidRPr="000512B4">
        <w:rPr>
          <w:color w:val="000000" w:themeColor="text1"/>
        </w:rPr>
        <w:t>One (1) electronic application package must include:</w:t>
      </w:r>
    </w:p>
    <w:p w14:paraId="2EFC2D01" w14:textId="465AC43A" w:rsidR="00A53DC4" w:rsidRPr="00A53DC4" w:rsidRDefault="002208D9" w:rsidP="00A53DC4">
      <w:pPr>
        <w:pStyle w:val="ae"/>
        <w:numPr>
          <w:ilvl w:val="0"/>
          <w:numId w:val="14"/>
        </w:numPr>
        <w:rPr>
          <w:color w:val="000000" w:themeColor="text1"/>
        </w:rPr>
      </w:pPr>
      <w:r w:rsidRPr="00A53DC4">
        <w:rPr>
          <w:color w:val="000000" w:themeColor="text1"/>
        </w:rPr>
        <w:t>Appendix 1: Residency Application Form.</w:t>
      </w:r>
    </w:p>
    <w:p w14:paraId="6FEAF85C" w14:textId="1E9F5787" w:rsidR="00A53DC4" w:rsidRPr="00A53DC4" w:rsidRDefault="002208D9" w:rsidP="00A53DC4">
      <w:pPr>
        <w:pStyle w:val="ae"/>
        <w:numPr>
          <w:ilvl w:val="0"/>
          <w:numId w:val="14"/>
        </w:numPr>
        <w:rPr>
          <w:color w:val="000000" w:themeColor="text1"/>
        </w:rPr>
      </w:pPr>
      <w:r w:rsidRPr="00A53DC4">
        <w:rPr>
          <w:color w:val="000000" w:themeColor="text1"/>
        </w:rPr>
        <w:t>Appendix 2: Residency Operating Plan (or slide deck).</w:t>
      </w:r>
    </w:p>
    <w:p w14:paraId="13D5BD63" w14:textId="743C9CE5" w:rsidR="00CC17D4" w:rsidRPr="00A53DC4" w:rsidRDefault="002208D9" w:rsidP="00A53DC4">
      <w:pPr>
        <w:pStyle w:val="ae"/>
        <w:numPr>
          <w:ilvl w:val="0"/>
          <w:numId w:val="14"/>
        </w:numPr>
        <w:rPr>
          <w:color w:val="000000" w:themeColor="text1"/>
        </w:rPr>
      </w:pPr>
      <w:r w:rsidRPr="00A53DC4">
        <w:rPr>
          <w:color w:val="000000" w:themeColor="text1"/>
        </w:rPr>
        <w:t>Appendix 3: Personal Data Collection Notice and Consent Form.</w:t>
      </w:r>
    </w:p>
    <w:p w14:paraId="09CF2A5A" w14:textId="21367023" w:rsidR="00CC17D4" w:rsidRPr="000512B4" w:rsidRDefault="002208D9" w:rsidP="00A53DC4">
      <w:pPr>
        <w:pStyle w:val="31"/>
        <w:numPr>
          <w:ilvl w:val="0"/>
          <w:numId w:val="13"/>
        </w:numPr>
        <w:rPr>
          <w:color w:val="000000" w:themeColor="text1"/>
        </w:rPr>
      </w:pPr>
      <w:r w:rsidRPr="000512B4">
        <w:rPr>
          <w:color w:val="000000" w:themeColor="text1"/>
        </w:rPr>
        <w:t>Proof of Establishment</w:t>
      </w:r>
    </w:p>
    <w:p w14:paraId="6B9878B0" w14:textId="6D7F78D8" w:rsidR="00CC17D4" w:rsidRPr="000512B4" w:rsidRDefault="002208D9">
      <w:pPr>
        <w:rPr>
          <w:color w:val="000000" w:themeColor="text1"/>
        </w:rPr>
      </w:pPr>
      <w:r w:rsidRPr="000512B4">
        <w:rPr>
          <w:color w:val="000000" w:themeColor="text1"/>
        </w:rPr>
        <w:t>The applicant must provide a copy of its establishment/registration documentation. If an overseas team applies under an “office in formation” name before establishing a company or branch in Taiwan, it must also provide: a copy of the founder’s ID or passport and a copy of the company name and business scope pre-approval letter (or equivalent).</w:t>
      </w:r>
    </w:p>
    <w:p w14:paraId="535AE867" w14:textId="44770E1C" w:rsidR="00CC17D4" w:rsidRPr="000512B4" w:rsidRDefault="002208D9" w:rsidP="00A53DC4">
      <w:pPr>
        <w:pStyle w:val="31"/>
        <w:numPr>
          <w:ilvl w:val="0"/>
          <w:numId w:val="13"/>
        </w:numPr>
        <w:rPr>
          <w:color w:val="000000" w:themeColor="text1"/>
        </w:rPr>
      </w:pPr>
      <w:r w:rsidRPr="000512B4">
        <w:rPr>
          <w:color w:val="000000" w:themeColor="text1"/>
        </w:rPr>
        <w:t>Download Source</w:t>
      </w:r>
    </w:p>
    <w:p w14:paraId="60C6ACC3" w14:textId="50C67425" w:rsidR="00C87126" w:rsidRDefault="00A53DC4" w:rsidP="00C87126">
      <w:pPr>
        <w:rPr>
          <w:rFonts w:eastAsia="新細明體"/>
          <w:color w:val="000000" w:themeColor="text1"/>
          <w:lang w:eastAsia="zh-TW"/>
        </w:rPr>
      </w:pPr>
      <w:r w:rsidRPr="00A53DC4">
        <w:rPr>
          <w:color w:val="000000" w:themeColor="text1"/>
        </w:rPr>
        <w:t>Applicants shall use the current templates provided on the Hub’s official website (</w:t>
      </w:r>
      <w:hyperlink r:id="rId8" w:history="1">
        <w:r w:rsidR="00C87126" w:rsidRPr="00ED354B">
          <w:rPr>
            <w:rStyle w:val="affd"/>
          </w:rPr>
          <w:t>https://innopad.taipei/</w:t>
        </w:r>
      </w:hyperlink>
      <w:r w:rsidRPr="00A53DC4">
        <w:rPr>
          <w:color w:val="000000" w:themeColor="text1"/>
        </w:rPr>
        <w:t>)</w:t>
      </w:r>
      <w:r w:rsidRPr="000512B4">
        <w:rPr>
          <w:color w:val="000000" w:themeColor="text1"/>
        </w:rPr>
        <w:t>.</w:t>
      </w:r>
    </w:p>
    <w:p w14:paraId="514B04CD" w14:textId="59A6D121" w:rsidR="00CC17D4" w:rsidRPr="000512B4" w:rsidRDefault="002208D9" w:rsidP="00C87126">
      <w:pPr>
        <w:pStyle w:val="31"/>
        <w:numPr>
          <w:ilvl w:val="0"/>
          <w:numId w:val="13"/>
        </w:numPr>
        <w:rPr>
          <w:color w:val="000000" w:themeColor="text1"/>
        </w:rPr>
      </w:pPr>
      <w:r w:rsidRPr="000512B4">
        <w:rPr>
          <w:color w:val="000000" w:themeColor="text1"/>
        </w:rPr>
        <w:t>Cure of Defects (Supplementation)</w:t>
      </w:r>
    </w:p>
    <w:p w14:paraId="46041380" w14:textId="77777777" w:rsidR="00CC17D4" w:rsidRPr="000512B4" w:rsidRDefault="002208D9">
      <w:pPr>
        <w:rPr>
          <w:color w:val="000000" w:themeColor="text1"/>
        </w:rPr>
      </w:pPr>
      <w:r w:rsidRPr="000512B4">
        <w:rPr>
          <w:color w:val="000000" w:themeColor="text1"/>
        </w:rPr>
        <w:t>The Operating Team will conduct an initial review of eligibility and completeness. If supplementation is required, the applicant must cure all defects within the deadline stated in the Operating Team’s notice. If the applicant fails to cure on time or submits non-conforming supplementation, the application will be deemed withdrawn and will not be accepted.</w:t>
      </w:r>
    </w:p>
    <w:p w14:paraId="256CE5FA" w14:textId="1ABEAD40" w:rsidR="00CC17D4" w:rsidRPr="00C87126" w:rsidRDefault="00D83365">
      <w:pPr>
        <w:pStyle w:val="21"/>
        <w:rPr>
          <w:rFonts w:eastAsia="新細明體"/>
          <w:color w:val="000000" w:themeColor="text1"/>
          <w:lang w:eastAsia="zh-TW"/>
        </w:rPr>
      </w:pPr>
      <w:r>
        <w:rPr>
          <w:rFonts w:eastAsia="新細明體" w:hint="eastAsia"/>
          <w:color w:val="000000" w:themeColor="text1"/>
          <w:lang w:eastAsia="zh-TW"/>
        </w:rPr>
        <w:t>V</w:t>
      </w:r>
      <w:r w:rsidRPr="000512B4">
        <w:rPr>
          <w:color w:val="000000" w:themeColor="text1"/>
        </w:rPr>
        <w:t xml:space="preserve">. Residency </w:t>
      </w:r>
      <w:r w:rsidR="00C87126">
        <w:rPr>
          <w:rFonts w:eastAsia="新細明體" w:hint="eastAsia"/>
          <w:color w:val="000000" w:themeColor="text1"/>
          <w:lang w:eastAsia="zh-TW"/>
        </w:rPr>
        <w:t>Timeline</w:t>
      </w:r>
    </w:p>
    <w:p w14:paraId="5DBF5E71" w14:textId="29CDCDCF" w:rsidR="00CC17D4" w:rsidRPr="000512B4" w:rsidRDefault="00C87126">
      <w:pPr>
        <w:pStyle w:val="31"/>
        <w:rPr>
          <w:color w:val="000000" w:themeColor="text1"/>
        </w:rPr>
      </w:pPr>
      <w:r>
        <w:rPr>
          <w:rFonts w:eastAsia="新細明體" w:hint="eastAsia"/>
          <w:color w:val="000000" w:themeColor="text1"/>
          <w:lang w:eastAsia="zh-TW"/>
        </w:rPr>
        <w:t>A.</w:t>
      </w:r>
      <w:r w:rsidRPr="000512B4">
        <w:rPr>
          <w:color w:val="000000" w:themeColor="text1"/>
        </w:rPr>
        <w:t xml:space="preserve"> Domestic Teams</w:t>
      </w:r>
    </w:p>
    <w:p w14:paraId="1196FEDA" w14:textId="77777777" w:rsidR="00CC17D4" w:rsidRPr="000512B4" w:rsidRDefault="002208D9">
      <w:pPr>
        <w:rPr>
          <w:color w:val="000000" w:themeColor="text1"/>
        </w:rPr>
      </w:pPr>
      <w:r w:rsidRPr="000512B4">
        <w:rPr>
          <w:color w:val="000000" w:themeColor="text1"/>
        </w:rPr>
        <w:t>For domestic teams, the initial contract term is one (1) year and is also the minimum rental term. Subject to performance review, the team may apply for extensions in one-year increments. The total residency period, including extensions, must not exceed three (3) years.</w:t>
      </w:r>
    </w:p>
    <w:p w14:paraId="68BBB6F4" w14:textId="3DBC0FBA" w:rsidR="00CC17D4" w:rsidRPr="000512B4" w:rsidRDefault="00C87126">
      <w:pPr>
        <w:pStyle w:val="31"/>
        <w:rPr>
          <w:color w:val="000000" w:themeColor="text1"/>
        </w:rPr>
      </w:pPr>
      <w:r>
        <w:rPr>
          <w:rFonts w:eastAsia="新細明體" w:hint="eastAsia"/>
          <w:color w:val="000000" w:themeColor="text1"/>
          <w:lang w:eastAsia="zh-TW"/>
        </w:rPr>
        <w:lastRenderedPageBreak/>
        <w:t>B.</w:t>
      </w:r>
      <w:r w:rsidRPr="000512B4">
        <w:rPr>
          <w:color w:val="000000" w:themeColor="text1"/>
        </w:rPr>
        <w:t xml:space="preserve"> International Teams</w:t>
      </w:r>
    </w:p>
    <w:p w14:paraId="04668C9B" w14:textId="77777777" w:rsidR="00CC17D4" w:rsidRPr="000512B4" w:rsidRDefault="002208D9">
      <w:pPr>
        <w:rPr>
          <w:color w:val="000000" w:themeColor="text1"/>
        </w:rPr>
      </w:pPr>
      <w:r w:rsidRPr="000512B4">
        <w:rPr>
          <w:color w:val="000000" w:themeColor="text1"/>
        </w:rPr>
        <w:t>For international teams, the initial contract term is six (6) months and is also the minimum rental term. Subject to performance review, the team may apply for extensions in six-month increments. The total residency period, including extensions, must not exceed three (3) years.</w:t>
      </w:r>
    </w:p>
    <w:p w14:paraId="6D2CC13D" w14:textId="0F89A6FE" w:rsidR="00CC17D4" w:rsidRPr="000512B4" w:rsidRDefault="00C87126">
      <w:pPr>
        <w:pStyle w:val="31"/>
        <w:rPr>
          <w:color w:val="000000" w:themeColor="text1"/>
        </w:rPr>
      </w:pPr>
      <w:r>
        <w:rPr>
          <w:rFonts w:eastAsia="新細明體" w:hint="eastAsia"/>
          <w:color w:val="000000" w:themeColor="text1"/>
          <w:lang w:eastAsia="zh-TW"/>
        </w:rPr>
        <w:t>C.</w:t>
      </w:r>
      <w:r w:rsidRPr="000512B4">
        <w:rPr>
          <w:color w:val="000000" w:themeColor="text1"/>
        </w:rPr>
        <w:t xml:space="preserve"> Extension Application Timing</w:t>
      </w:r>
    </w:p>
    <w:p w14:paraId="68FE446F" w14:textId="77777777" w:rsidR="00CC17D4" w:rsidRPr="000512B4" w:rsidRDefault="002208D9">
      <w:pPr>
        <w:rPr>
          <w:color w:val="000000" w:themeColor="text1"/>
        </w:rPr>
      </w:pPr>
      <w:r w:rsidRPr="000512B4">
        <w:rPr>
          <w:color w:val="000000" w:themeColor="text1"/>
        </w:rPr>
        <w:t>A team seeking an extension must submit a written request (including by email) at least thirty (30) days before the end of its then-current residency term. An extension becomes effective only after the Operating Team approves it in writing.</w:t>
      </w:r>
    </w:p>
    <w:p w14:paraId="7D943927" w14:textId="20092F7E" w:rsidR="00CC17D4" w:rsidRPr="000512B4" w:rsidRDefault="00D83365">
      <w:pPr>
        <w:pStyle w:val="21"/>
        <w:rPr>
          <w:color w:val="000000" w:themeColor="text1"/>
        </w:rPr>
      </w:pPr>
      <w:r>
        <w:rPr>
          <w:rFonts w:eastAsia="新細明體" w:hint="eastAsia"/>
          <w:color w:val="000000" w:themeColor="text1"/>
          <w:lang w:eastAsia="zh-TW"/>
        </w:rPr>
        <w:t>VI</w:t>
      </w:r>
      <w:r w:rsidRPr="000512B4">
        <w:rPr>
          <w:color w:val="000000" w:themeColor="text1"/>
        </w:rPr>
        <w:t>. Review Mechanism</w:t>
      </w:r>
    </w:p>
    <w:p w14:paraId="3A617D69" w14:textId="29FC009A" w:rsidR="00CC17D4" w:rsidRPr="000512B4" w:rsidRDefault="002208D9" w:rsidP="00C87126">
      <w:pPr>
        <w:pStyle w:val="31"/>
        <w:numPr>
          <w:ilvl w:val="0"/>
          <w:numId w:val="15"/>
        </w:numPr>
        <w:rPr>
          <w:color w:val="000000" w:themeColor="text1"/>
        </w:rPr>
      </w:pPr>
      <w:r w:rsidRPr="000512B4">
        <w:rPr>
          <w:color w:val="000000" w:themeColor="text1"/>
        </w:rPr>
        <w:t>Rolling Intake</w:t>
      </w:r>
    </w:p>
    <w:p w14:paraId="491502E1" w14:textId="77777777" w:rsidR="00CC17D4" w:rsidRPr="000512B4" w:rsidRDefault="002208D9">
      <w:pPr>
        <w:rPr>
          <w:color w:val="000000" w:themeColor="text1"/>
        </w:rPr>
      </w:pPr>
      <w:r w:rsidRPr="000512B4">
        <w:rPr>
          <w:color w:val="000000" w:themeColor="text1"/>
        </w:rPr>
        <w:t>The Hub uses a rolling review mechanism. After an applicant submits the required forms and materials, the Operating Team will convene a review meeting as needed. For efficiency, the Operating Team will generally batch applications for consolidated review every two (2) to four (4) weeks, but the actual review frequency may vary based on application volume and space availability. The Operating Team will notify applicants in writing (including by email).</w:t>
      </w:r>
    </w:p>
    <w:p w14:paraId="461C547E" w14:textId="32AE6C4D" w:rsidR="00CC17D4" w:rsidRPr="000512B4" w:rsidRDefault="002208D9" w:rsidP="00C87126">
      <w:pPr>
        <w:pStyle w:val="31"/>
        <w:numPr>
          <w:ilvl w:val="0"/>
          <w:numId w:val="15"/>
        </w:numPr>
        <w:rPr>
          <w:color w:val="000000" w:themeColor="text1"/>
        </w:rPr>
      </w:pPr>
      <w:r w:rsidRPr="000512B4">
        <w:rPr>
          <w:color w:val="000000" w:themeColor="text1"/>
        </w:rPr>
        <w:t xml:space="preserve">Review </w:t>
      </w:r>
      <w:r w:rsidR="00C87126">
        <w:rPr>
          <w:rFonts w:eastAsia="新細明體" w:hint="eastAsia"/>
          <w:color w:val="000000" w:themeColor="text1"/>
          <w:lang w:eastAsia="zh-TW"/>
        </w:rPr>
        <w:t>Process</w:t>
      </w:r>
    </w:p>
    <w:p w14:paraId="47E24F0C" w14:textId="77777777" w:rsidR="00CC17D4" w:rsidRPr="000512B4" w:rsidRDefault="002208D9">
      <w:pPr>
        <w:rPr>
          <w:color w:val="000000" w:themeColor="text1"/>
        </w:rPr>
      </w:pPr>
      <w:r w:rsidRPr="000512B4">
        <w:rPr>
          <w:color w:val="000000" w:themeColor="text1"/>
        </w:rPr>
        <w:t>The review process consists of the following stages:</w:t>
      </w:r>
    </w:p>
    <w:p w14:paraId="4FFF6111" w14:textId="362C6E50" w:rsidR="00CC17D4" w:rsidRPr="00EC039D" w:rsidRDefault="002208D9" w:rsidP="00EC039D">
      <w:pPr>
        <w:pStyle w:val="ae"/>
        <w:numPr>
          <w:ilvl w:val="0"/>
          <w:numId w:val="22"/>
        </w:numPr>
        <w:rPr>
          <w:rFonts w:eastAsia="新細明體"/>
          <w:color w:val="000000" w:themeColor="text1"/>
          <w:lang w:eastAsia="zh-TW"/>
        </w:rPr>
      </w:pPr>
      <w:r w:rsidRPr="00EC039D">
        <w:rPr>
          <w:rFonts w:eastAsia="新細明體"/>
          <w:color w:val="000000" w:themeColor="text1"/>
          <w:lang w:eastAsia="zh-TW"/>
        </w:rPr>
        <w:t>Initial review: the Operating Team reviews eligibility and completeness.</w:t>
      </w:r>
    </w:p>
    <w:p w14:paraId="02590D09" w14:textId="7418CC64" w:rsidR="00EC039D" w:rsidRDefault="002208D9" w:rsidP="00EC039D">
      <w:pPr>
        <w:pStyle w:val="ae"/>
        <w:numPr>
          <w:ilvl w:val="0"/>
          <w:numId w:val="22"/>
        </w:numPr>
        <w:rPr>
          <w:rFonts w:eastAsia="新細明體"/>
          <w:color w:val="000000" w:themeColor="text1"/>
          <w:lang w:eastAsia="zh-TW"/>
        </w:rPr>
      </w:pPr>
      <w:r w:rsidRPr="00EC039D">
        <w:rPr>
          <w:rFonts w:eastAsia="新細明體"/>
          <w:color w:val="000000" w:themeColor="text1"/>
          <w:lang w:eastAsia="zh-TW"/>
        </w:rPr>
        <w:t xml:space="preserve">Secondary review: applicants that pass initial review present in an online briefing and Q&amp;A. The review </w:t>
      </w:r>
      <w:r w:rsidR="004F3D3F">
        <w:rPr>
          <w:rFonts w:eastAsia="新細明體"/>
          <w:color w:val="000000" w:themeColor="text1"/>
          <w:lang w:eastAsia="zh-TW"/>
        </w:rPr>
        <w:t>committee</w:t>
      </w:r>
      <w:r w:rsidRPr="00EC039D">
        <w:rPr>
          <w:rFonts w:eastAsia="新細明體"/>
          <w:color w:val="000000" w:themeColor="text1"/>
          <w:lang w:eastAsia="zh-TW"/>
        </w:rPr>
        <w:t xml:space="preserve"> may request an in-person interview, site visit, or additional materials where necessary.</w:t>
      </w:r>
      <w:r w:rsidR="00C87126">
        <w:rPr>
          <w:rFonts w:eastAsia="新細明體" w:hint="eastAsia"/>
          <w:color w:val="000000" w:themeColor="text1"/>
          <w:lang w:eastAsia="zh-TW"/>
        </w:rPr>
        <w:t xml:space="preserve"> </w:t>
      </w:r>
      <w:r w:rsidRPr="00EC039D">
        <w:rPr>
          <w:rFonts w:eastAsia="新細明體"/>
          <w:color w:val="000000" w:themeColor="text1"/>
          <w:lang w:eastAsia="zh-TW"/>
        </w:rPr>
        <w:t>Recommendation channel: a startup team recommended by a City Startup Partner</w:t>
      </w:r>
      <w:r w:rsidR="00C87126" w:rsidRPr="00EC039D">
        <w:rPr>
          <w:rFonts w:eastAsia="新細明體"/>
          <w:lang w:eastAsia="zh-TW"/>
        </w:rPr>
        <w:footnoteReference w:id="2"/>
      </w:r>
      <w:r w:rsidRPr="00EC039D">
        <w:rPr>
          <w:rFonts w:eastAsia="新細明體"/>
          <w:color w:val="000000" w:themeColor="text1"/>
          <w:lang w:eastAsia="zh-TW"/>
        </w:rPr>
        <w:t xml:space="preserve"> or an Ecosystem Partner</w:t>
      </w:r>
      <w:r w:rsidR="00C87126" w:rsidRPr="00EC039D">
        <w:rPr>
          <w:rFonts w:eastAsia="新細明體"/>
          <w:lang w:eastAsia="zh-TW"/>
        </w:rPr>
        <w:footnoteReference w:id="3"/>
      </w:r>
      <w:r w:rsidRPr="00EC039D">
        <w:rPr>
          <w:rFonts w:eastAsia="新細明體"/>
          <w:color w:val="000000" w:themeColor="text1"/>
          <w:lang w:eastAsia="zh-TW"/>
        </w:rPr>
        <w:t xml:space="preserve"> may be exempted from the presentation step. In that case, the Operating Team will issue a written opinion and submit it to DOED for final </w:t>
      </w:r>
      <w:r w:rsidR="00591BEF">
        <w:t>approval</w:t>
      </w:r>
      <w:r w:rsidRPr="00EC039D">
        <w:rPr>
          <w:rFonts w:eastAsia="新細明體"/>
          <w:color w:val="000000" w:themeColor="text1"/>
          <w:lang w:eastAsia="zh-TW"/>
        </w:rPr>
        <w:t>.</w:t>
      </w:r>
    </w:p>
    <w:p w14:paraId="5C0F87F6" w14:textId="77777777" w:rsidR="00EC039D" w:rsidRDefault="002208D9" w:rsidP="00EC039D">
      <w:pPr>
        <w:pStyle w:val="ae"/>
        <w:numPr>
          <w:ilvl w:val="0"/>
          <w:numId w:val="22"/>
        </w:numPr>
        <w:rPr>
          <w:rFonts w:eastAsia="新細明體"/>
          <w:color w:val="000000" w:themeColor="text1"/>
          <w:lang w:eastAsia="zh-TW"/>
        </w:rPr>
      </w:pPr>
      <w:r w:rsidRPr="00EC039D">
        <w:rPr>
          <w:rFonts w:eastAsia="新細明體"/>
          <w:color w:val="000000" w:themeColor="text1"/>
          <w:lang w:eastAsia="zh-TW"/>
        </w:rPr>
        <w:t>Decision Types and Re-Review</w:t>
      </w:r>
      <w:r w:rsidR="00EC039D">
        <w:rPr>
          <w:rFonts w:eastAsia="新細明體" w:hint="eastAsia"/>
          <w:color w:val="000000" w:themeColor="text1"/>
          <w:lang w:eastAsia="zh-TW"/>
        </w:rPr>
        <w:t xml:space="preserve">: </w:t>
      </w:r>
    </w:p>
    <w:p w14:paraId="6C87FC27" w14:textId="047099AC" w:rsidR="00CC17D4" w:rsidRDefault="002208D9" w:rsidP="00EC039D">
      <w:pPr>
        <w:pStyle w:val="ae"/>
        <w:ind w:left="480"/>
        <w:rPr>
          <w:rFonts w:eastAsia="新細明體"/>
          <w:color w:val="000000" w:themeColor="text1"/>
          <w:lang w:eastAsia="zh-TW"/>
        </w:rPr>
      </w:pPr>
      <w:r w:rsidRPr="00EC039D">
        <w:rPr>
          <w:rFonts w:eastAsia="新細明體"/>
          <w:color w:val="000000" w:themeColor="text1"/>
          <w:lang w:eastAsia="zh-TW"/>
        </w:rPr>
        <w:t>Decisions are: (</w:t>
      </w:r>
      <w:r w:rsidR="00EC039D">
        <w:rPr>
          <w:rFonts w:eastAsia="新細明體" w:hint="eastAsia"/>
          <w:color w:val="000000" w:themeColor="text1"/>
          <w:lang w:eastAsia="zh-TW"/>
        </w:rPr>
        <w:t>a</w:t>
      </w:r>
      <w:r w:rsidRPr="00EC039D">
        <w:rPr>
          <w:rFonts w:eastAsia="新細明體"/>
          <w:color w:val="000000" w:themeColor="text1"/>
          <w:lang w:eastAsia="zh-TW"/>
        </w:rPr>
        <w:t>) Approved, (</w:t>
      </w:r>
      <w:r w:rsidR="00EC039D">
        <w:rPr>
          <w:rFonts w:eastAsia="新細明體" w:hint="eastAsia"/>
          <w:color w:val="000000" w:themeColor="text1"/>
          <w:lang w:eastAsia="zh-TW"/>
        </w:rPr>
        <w:t>b</w:t>
      </w:r>
      <w:r w:rsidRPr="00EC039D">
        <w:rPr>
          <w:rFonts w:eastAsia="新細明體"/>
          <w:color w:val="000000" w:themeColor="text1"/>
          <w:lang w:eastAsia="zh-TW"/>
        </w:rPr>
        <w:t>) Not Approved, or (</w:t>
      </w:r>
      <w:r w:rsidR="00EC039D">
        <w:rPr>
          <w:rFonts w:eastAsia="新細明體" w:hint="eastAsia"/>
          <w:color w:val="000000" w:themeColor="text1"/>
          <w:lang w:eastAsia="zh-TW"/>
        </w:rPr>
        <w:t>c</w:t>
      </w:r>
      <w:r w:rsidRPr="00EC039D">
        <w:rPr>
          <w:rFonts w:eastAsia="新細明體"/>
          <w:color w:val="000000" w:themeColor="text1"/>
          <w:lang w:eastAsia="zh-TW"/>
        </w:rPr>
        <w:t>) Revise and Resubmit. If “Revise and Resubmit” is issued, the applicant must submit the requested revisions within the specified</w:t>
      </w:r>
      <w:r w:rsidR="00EC039D">
        <w:rPr>
          <w:rFonts w:eastAsia="新細明體" w:hint="eastAsia"/>
          <w:color w:val="000000" w:themeColor="text1"/>
          <w:lang w:eastAsia="zh-TW"/>
        </w:rPr>
        <w:t xml:space="preserve"> </w:t>
      </w:r>
      <w:r w:rsidRPr="00EC039D">
        <w:rPr>
          <w:rFonts w:eastAsia="新細明體"/>
          <w:color w:val="000000" w:themeColor="text1"/>
          <w:lang w:eastAsia="zh-TW"/>
        </w:rPr>
        <w:t>deadline. Contracting may proceed only after the resubmission passes re-review.</w:t>
      </w:r>
    </w:p>
    <w:p w14:paraId="15125F48" w14:textId="77777777" w:rsidR="004F3D3F" w:rsidRPr="00EC039D" w:rsidRDefault="004F3D3F" w:rsidP="00EC039D">
      <w:pPr>
        <w:pStyle w:val="ae"/>
        <w:ind w:left="480"/>
        <w:rPr>
          <w:rFonts w:eastAsia="新細明體"/>
          <w:color w:val="000000" w:themeColor="text1"/>
          <w:lang w:eastAsia="zh-TW"/>
        </w:rPr>
      </w:pPr>
    </w:p>
    <w:p w14:paraId="37E14E44" w14:textId="0C55F466" w:rsidR="00CC17D4" w:rsidRDefault="002208D9" w:rsidP="00EC039D">
      <w:pPr>
        <w:pStyle w:val="ae"/>
        <w:numPr>
          <w:ilvl w:val="0"/>
          <w:numId w:val="22"/>
        </w:numPr>
        <w:rPr>
          <w:rFonts w:eastAsia="新細明體"/>
          <w:color w:val="000000" w:themeColor="text1"/>
          <w:lang w:eastAsia="zh-TW"/>
        </w:rPr>
      </w:pPr>
      <w:r w:rsidRPr="00EC039D">
        <w:rPr>
          <w:rFonts w:eastAsia="新細明體"/>
          <w:color w:val="000000" w:themeColor="text1"/>
          <w:lang w:eastAsia="zh-TW"/>
        </w:rPr>
        <w:lastRenderedPageBreak/>
        <w:t xml:space="preserve">Contracting and </w:t>
      </w:r>
      <w:r w:rsidR="007B7090" w:rsidRPr="007B7090">
        <w:rPr>
          <w:rFonts w:eastAsia="新細明體"/>
          <w:color w:val="000000" w:themeColor="text1"/>
          <w:lang w:eastAsia="zh-TW"/>
        </w:rPr>
        <w:t>Move-in</w:t>
      </w:r>
    </w:p>
    <w:p w14:paraId="601A6589" w14:textId="76660F3D" w:rsidR="00EC039D" w:rsidRPr="00EC039D" w:rsidRDefault="00EC039D" w:rsidP="00EC039D">
      <w:pPr>
        <w:pStyle w:val="ae"/>
        <w:numPr>
          <w:ilvl w:val="0"/>
          <w:numId w:val="23"/>
        </w:numPr>
        <w:rPr>
          <w:rFonts w:eastAsia="新細明體"/>
          <w:color w:val="000000" w:themeColor="text1"/>
          <w:lang w:eastAsia="zh-TW"/>
        </w:rPr>
      </w:pPr>
      <w:r w:rsidRPr="00EC039D">
        <w:rPr>
          <w:rFonts w:eastAsia="新細明體"/>
          <w:color w:val="000000" w:themeColor="text1"/>
          <w:lang w:eastAsia="zh-TW"/>
        </w:rPr>
        <w:t xml:space="preserve">An approved applicant must complete </w:t>
      </w:r>
      <w:r w:rsidR="00495597" w:rsidRPr="00495597">
        <w:rPr>
          <w:rFonts w:eastAsia="新細明體"/>
          <w:color w:val="000000" w:themeColor="text1"/>
          <w:lang w:eastAsia="zh-TW"/>
        </w:rPr>
        <w:t>the contract signing process</w:t>
      </w:r>
      <w:r w:rsidRPr="00EC039D">
        <w:rPr>
          <w:rFonts w:eastAsia="新細明體"/>
          <w:color w:val="000000" w:themeColor="text1"/>
          <w:lang w:eastAsia="zh-TW"/>
        </w:rPr>
        <w:t xml:space="preserve"> within thirty (30) days after the date of notification. If it cannot meet the deadline, it may request one (1) extension by submitting a request at least seven (7) days before the deadline. The extension may not exceed thirty (30) days. Before move-in, the team must pay the first month’s rent and a performance deposit (if applicable under the residency contract).</w:t>
      </w:r>
    </w:p>
    <w:p w14:paraId="6FB632D3" w14:textId="36F0263B" w:rsidR="00EC039D" w:rsidRPr="00EC039D" w:rsidRDefault="00EC039D" w:rsidP="00EC039D">
      <w:pPr>
        <w:pStyle w:val="ae"/>
        <w:numPr>
          <w:ilvl w:val="0"/>
          <w:numId w:val="23"/>
        </w:numPr>
        <w:rPr>
          <w:rFonts w:eastAsia="新細明體"/>
          <w:color w:val="000000" w:themeColor="text1"/>
          <w:lang w:eastAsia="zh-TW"/>
        </w:rPr>
      </w:pPr>
      <w:r w:rsidRPr="00EC039D">
        <w:rPr>
          <w:rFonts w:eastAsia="新細明體"/>
          <w:color w:val="000000" w:themeColor="text1"/>
          <w:lang w:eastAsia="zh-TW"/>
        </w:rPr>
        <w:t>The Operating Team will set an access-control credential cap based on the team’s rented space and headcount. Residency becomes effective after access credentials are</w:t>
      </w:r>
      <w:r>
        <w:rPr>
          <w:rFonts w:eastAsia="新細明體" w:hint="eastAsia"/>
          <w:color w:val="000000" w:themeColor="text1"/>
          <w:lang w:eastAsia="zh-TW"/>
        </w:rPr>
        <w:t xml:space="preserve"> </w:t>
      </w:r>
      <w:r w:rsidRPr="00EC039D">
        <w:rPr>
          <w:rFonts w:eastAsia="新細明體"/>
          <w:color w:val="000000" w:themeColor="text1"/>
          <w:lang w:eastAsia="zh-TW"/>
        </w:rPr>
        <w:t>activated.</w:t>
      </w:r>
    </w:p>
    <w:p w14:paraId="476BC449" w14:textId="07DCB6C0" w:rsidR="00EC039D" w:rsidRPr="00EC039D" w:rsidRDefault="00EC039D" w:rsidP="00EC039D">
      <w:pPr>
        <w:pStyle w:val="ae"/>
        <w:numPr>
          <w:ilvl w:val="0"/>
          <w:numId w:val="22"/>
        </w:numPr>
        <w:rPr>
          <w:rFonts w:eastAsia="新細明體"/>
          <w:color w:val="000000" w:themeColor="text1"/>
          <w:lang w:eastAsia="zh-TW"/>
        </w:rPr>
      </w:pPr>
      <w:r w:rsidRPr="00EC039D">
        <w:rPr>
          <w:rFonts w:eastAsia="新細明體" w:hint="eastAsia"/>
          <w:color w:val="000000" w:themeColor="text1"/>
          <w:lang w:eastAsia="zh-TW"/>
        </w:rPr>
        <w:t xml:space="preserve">Move-in Process is </w:t>
      </w:r>
      <w:r>
        <w:rPr>
          <w:rFonts w:eastAsia="新細明體" w:hint="eastAsia"/>
          <w:color w:val="000000" w:themeColor="text1"/>
          <w:lang w:eastAsia="zh-TW"/>
        </w:rPr>
        <w:t>illustrated in</w:t>
      </w:r>
      <w:r w:rsidRPr="00EC039D">
        <w:rPr>
          <w:rFonts w:eastAsia="新細明體" w:hint="eastAsia"/>
          <w:color w:val="000000" w:themeColor="text1"/>
          <w:lang w:eastAsia="zh-TW"/>
        </w:rPr>
        <w:t xml:space="preserve"> </w:t>
      </w:r>
      <w:r>
        <w:rPr>
          <w:rFonts w:eastAsia="新細明體" w:hint="eastAsia"/>
          <w:color w:val="000000" w:themeColor="text1"/>
          <w:lang w:eastAsia="zh-TW"/>
        </w:rPr>
        <w:t>the following</w:t>
      </w:r>
      <w:r w:rsidRPr="00EC039D">
        <w:rPr>
          <w:rFonts w:eastAsia="新細明體" w:hint="eastAsia"/>
          <w:color w:val="000000" w:themeColor="text1"/>
          <w:lang w:eastAsia="zh-TW"/>
        </w:rPr>
        <w:t xml:space="preserve"> appendix </w:t>
      </w:r>
      <w:r>
        <w:rPr>
          <w:rFonts w:eastAsia="新細明體" w:hint="eastAsia"/>
          <w:color w:val="000000" w:themeColor="text1"/>
          <w:lang w:eastAsia="zh-TW"/>
        </w:rPr>
        <w:t>2</w:t>
      </w:r>
    </w:p>
    <w:p w14:paraId="176A430A" w14:textId="6F3A32D4" w:rsidR="004F3D3F" w:rsidRPr="004F3D3F" w:rsidRDefault="002208D9" w:rsidP="004F3D3F">
      <w:pPr>
        <w:pStyle w:val="31"/>
        <w:numPr>
          <w:ilvl w:val="0"/>
          <w:numId w:val="15"/>
        </w:numPr>
        <w:rPr>
          <w:color w:val="000000" w:themeColor="text1"/>
        </w:rPr>
      </w:pPr>
      <w:r w:rsidRPr="004F3D3F">
        <w:rPr>
          <w:color w:val="000000" w:themeColor="text1"/>
        </w:rPr>
        <w:t xml:space="preserve">The </w:t>
      </w:r>
      <w:r w:rsidR="004F3D3F" w:rsidRPr="004F3D3F">
        <w:rPr>
          <w:color w:val="000000" w:themeColor="text1"/>
        </w:rPr>
        <w:t xml:space="preserve">Review Committee Composition </w:t>
      </w:r>
    </w:p>
    <w:p w14:paraId="6EC14B66" w14:textId="60FB5FF3" w:rsidR="00CC17D4" w:rsidRPr="004F3D3F" w:rsidRDefault="004F3D3F" w:rsidP="004F3D3F">
      <w:pPr>
        <w:rPr>
          <w:rFonts w:eastAsia="新細明體"/>
          <w:color w:val="000000" w:themeColor="text1"/>
          <w:lang w:eastAsia="zh-TW"/>
        </w:rPr>
      </w:pPr>
      <w:r w:rsidRPr="004F3D3F">
        <w:rPr>
          <w:color w:val="000000" w:themeColor="text1"/>
        </w:rPr>
        <w:t>The Review Committee shall consist of five (5) to seven (7) members, comprising representatives from the Operating Team and experts from fields such as industry, technology, venture capital, and operations. To enhance the professional depth and diversity of the review process, the Operating Team may invite external advisors as needed.</w:t>
      </w:r>
    </w:p>
    <w:p w14:paraId="08768B8F" w14:textId="5ABD2B73" w:rsidR="00CC17D4" w:rsidRPr="000512B4" w:rsidRDefault="002208D9" w:rsidP="004F3D3F">
      <w:pPr>
        <w:pStyle w:val="31"/>
        <w:numPr>
          <w:ilvl w:val="0"/>
          <w:numId w:val="15"/>
        </w:numPr>
        <w:rPr>
          <w:color w:val="000000" w:themeColor="text1"/>
        </w:rPr>
      </w:pPr>
      <w:r w:rsidRPr="000512B4">
        <w:rPr>
          <w:color w:val="000000" w:themeColor="text1"/>
        </w:rPr>
        <w:t>Evaluation Criteria</w:t>
      </w:r>
    </w:p>
    <w:p w14:paraId="46D49808" w14:textId="51D1FAAF" w:rsidR="00CC17D4" w:rsidRPr="000512B4" w:rsidRDefault="002208D9">
      <w:pPr>
        <w:rPr>
          <w:color w:val="000000" w:themeColor="text1"/>
        </w:rPr>
      </w:pPr>
      <w:r w:rsidRPr="000512B4">
        <w:rPr>
          <w:color w:val="000000" w:themeColor="text1"/>
        </w:rPr>
        <w:t xml:space="preserve">The </w:t>
      </w:r>
      <w:r w:rsidR="004F3D3F">
        <w:rPr>
          <w:color w:val="000000" w:themeColor="text1"/>
        </w:rPr>
        <w:t>committee</w:t>
      </w:r>
      <w:r w:rsidRPr="000512B4">
        <w:rPr>
          <w:color w:val="000000" w:themeColor="text1"/>
        </w:rPr>
        <w:t xml:space="preserve"> will evaluate applicants based on:</w:t>
      </w:r>
    </w:p>
    <w:p w14:paraId="64D955C1" w14:textId="1997D12B" w:rsidR="00CC17D4" w:rsidRPr="00DB6171" w:rsidRDefault="002208D9" w:rsidP="00DB6171">
      <w:pPr>
        <w:pStyle w:val="ae"/>
        <w:numPr>
          <w:ilvl w:val="0"/>
          <w:numId w:val="16"/>
        </w:numPr>
        <w:rPr>
          <w:color w:val="000000" w:themeColor="text1"/>
        </w:rPr>
      </w:pPr>
      <w:r w:rsidRPr="00DB6171">
        <w:rPr>
          <w:color w:val="000000" w:themeColor="text1"/>
        </w:rPr>
        <w:t>Innovation of technology/product/service</w:t>
      </w:r>
    </w:p>
    <w:p w14:paraId="00BBA7B5" w14:textId="704017DD" w:rsidR="00CC17D4" w:rsidRPr="00DB6171" w:rsidRDefault="002208D9" w:rsidP="00DB6171">
      <w:pPr>
        <w:pStyle w:val="ae"/>
        <w:numPr>
          <w:ilvl w:val="0"/>
          <w:numId w:val="16"/>
        </w:numPr>
        <w:rPr>
          <w:color w:val="000000" w:themeColor="text1"/>
        </w:rPr>
      </w:pPr>
      <w:r w:rsidRPr="00DB6171">
        <w:rPr>
          <w:color w:val="000000" w:themeColor="text1"/>
        </w:rPr>
        <w:t>Business model feasibility, market potential, and international competitiveness</w:t>
      </w:r>
    </w:p>
    <w:p w14:paraId="3A1D6F05" w14:textId="67ED6710" w:rsidR="00CC17D4" w:rsidRPr="00DB6171" w:rsidRDefault="002208D9" w:rsidP="00DB6171">
      <w:pPr>
        <w:pStyle w:val="ae"/>
        <w:numPr>
          <w:ilvl w:val="0"/>
          <w:numId w:val="16"/>
        </w:numPr>
        <w:rPr>
          <w:color w:val="000000" w:themeColor="text1"/>
        </w:rPr>
      </w:pPr>
      <w:r w:rsidRPr="00DB6171">
        <w:rPr>
          <w:color w:val="000000" w:themeColor="text1"/>
        </w:rPr>
        <w:t>Financial plan completeness and operating maturity</w:t>
      </w:r>
    </w:p>
    <w:p w14:paraId="1638E95D" w14:textId="19FBB221" w:rsidR="00CC17D4" w:rsidRPr="00DB6171" w:rsidRDefault="002208D9" w:rsidP="00DB6171">
      <w:pPr>
        <w:pStyle w:val="ae"/>
        <w:numPr>
          <w:ilvl w:val="0"/>
          <w:numId w:val="16"/>
        </w:numPr>
        <w:rPr>
          <w:color w:val="000000" w:themeColor="text1"/>
        </w:rPr>
      </w:pPr>
      <w:r w:rsidRPr="00DB6171">
        <w:rPr>
          <w:color w:val="000000" w:themeColor="text1"/>
        </w:rPr>
        <w:t>Team professionalism and execution capability</w:t>
      </w:r>
    </w:p>
    <w:p w14:paraId="4EE5B0BA" w14:textId="2BEC0EAC" w:rsidR="00DB6171" w:rsidRPr="00DB6171" w:rsidRDefault="002208D9" w:rsidP="00DB6171">
      <w:pPr>
        <w:pStyle w:val="ae"/>
        <w:numPr>
          <w:ilvl w:val="0"/>
          <w:numId w:val="16"/>
        </w:numPr>
        <w:rPr>
          <w:color w:val="000000" w:themeColor="text1"/>
        </w:rPr>
      </w:pPr>
      <w:r w:rsidRPr="00DB6171">
        <w:rPr>
          <w:color w:val="000000" w:themeColor="text1"/>
        </w:rPr>
        <w:t>Fit with Taipei’s priority industries</w:t>
      </w:r>
    </w:p>
    <w:p w14:paraId="3633FDCE" w14:textId="78F36163" w:rsidR="00CC17D4" w:rsidRPr="00DB6171" w:rsidRDefault="002208D9" w:rsidP="00DB6171">
      <w:pPr>
        <w:pStyle w:val="ae"/>
        <w:numPr>
          <w:ilvl w:val="0"/>
          <w:numId w:val="16"/>
        </w:numPr>
        <w:rPr>
          <w:color w:val="000000" w:themeColor="text1"/>
        </w:rPr>
      </w:pPr>
      <w:r w:rsidRPr="00DB6171">
        <w:rPr>
          <w:color w:val="000000" w:themeColor="text1"/>
        </w:rPr>
        <w:t>For international teams: feasibility of Taiwan landing plan and execution</w:t>
      </w:r>
    </w:p>
    <w:p w14:paraId="039C9B3C" w14:textId="77F6AA45" w:rsidR="00CC17D4" w:rsidRPr="000512B4" w:rsidRDefault="00DB6171">
      <w:pPr>
        <w:pStyle w:val="31"/>
        <w:rPr>
          <w:color w:val="000000" w:themeColor="text1"/>
        </w:rPr>
      </w:pPr>
      <w:r>
        <w:rPr>
          <w:rFonts w:eastAsia="新細明體" w:hint="eastAsia"/>
          <w:color w:val="000000" w:themeColor="text1"/>
          <w:lang w:eastAsia="zh-TW"/>
        </w:rPr>
        <w:t>G.</w:t>
      </w:r>
      <w:r w:rsidRPr="000512B4">
        <w:rPr>
          <w:color w:val="000000" w:themeColor="text1"/>
        </w:rPr>
        <w:t xml:space="preserve"> Decision Threshold</w:t>
      </w:r>
    </w:p>
    <w:p w14:paraId="29FC06A5" w14:textId="3ABE31C6" w:rsidR="00CC17D4" w:rsidRPr="000512B4" w:rsidRDefault="002208D9">
      <w:pPr>
        <w:rPr>
          <w:color w:val="000000" w:themeColor="text1"/>
        </w:rPr>
      </w:pPr>
      <w:r w:rsidRPr="000512B4">
        <w:rPr>
          <w:color w:val="000000" w:themeColor="text1"/>
        </w:rPr>
        <w:t xml:space="preserve">A case requires at least two-thirds (2/3) of </w:t>
      </w:r>
      <w:r w:rsidR="004F3D3F">
        <w:rPr>
          <w:color w:val="000000" w:themeColor="text1"/>
        </w:rPr>
        <w:t>committee</w:t>
      </w:r>
      <w:r w:rsidRPr="000512B4">
        <w:rPr>
          <w:color w:val="000000" w:themeColor="text1"/>
        </w:rPr>
        <w:t xml:space="preserve"> members present, and approval requires a majority of those present. If the threshold is not met, the result will be “Not Approved” or “Revise and Resubmit.”</w:t>
      </w:r>
      <w:r w:rsidR="00D57597" w:rsidRPr="00D57597">
        <w:t xml:space="preserve"> </w:t>
      </w:r>
      <w:r w:rsidR="00D57597" w:rsidRPr="00D57597">
        <w:rPr>
          <w:color w:val="000000" w:themeColor="text1"/>
        </w:rPr>
        <w:t xml:space="preserve">Applicants recommended by City Startup Partners or Ecosystem Partners are exempt from the presentation review. Upon passing the </w:t>
      </w:r>
      <w:r w:rsidR="00D57597">
        <w:rPr>
          <w:rFonts w:eastAsia="新細明體" w:hint="eastAsia"/>
          <w:color w:val="000000" w:themeColor="text1"/>
          <w:lang w:eastAsia="zh-TW"/>
        </w:rPr>
        <w:t xml:space="preserve">initial </w:t>
      </w:r>
      <w:r w:rsidR="00D57597" w:rsidRPr="00D57597">
        <w:rPr>
          <w:color w:val="000000" w:themeColor="text1"/>
        </w:rPr>
        <w:t>review, the D</w:t>
      </w:r>
      <w:r w:rsidR="00D57597">
        <w:rPr>
          <w:rFonts w:eastAsia="新細明體" w:hint="eastAsia"/>
          <w:color w:val="000000" w:themeColor="text1"/>
          <w:lang w:eastAsia="zh-TW"/>
        </w:rPr>
        <w:t>OED</w:t>
      </w:r>
      <w:r w:rsidR="00D57597" w:rsidRPr="00D57597">
        <w:rPr>
          <w:color w:val="000000" w:themeColor="text1"/>
        </w:rPr>
        <w:t xml:space="preserve"> will directly determine the final results, taking into account the written opinions provided by the Operating Team.</w:t>
      </w:r>
    </w:p>
    <w:p w14:paraId="4497A41C" w14:textId="1B6FB3F1" w:rsidR="00CC17D4" w:rsidRPr="000512B4" w:rsidRDefault="00D83365">
      <w:pPr>
        <w:pStyle w:val="21"/>
        <w:rPr>
          <w:color w:val="000000" w:themeColor="text1"/>
        </w:rPr>
      </w:pPr>
      <w:r>
        <w:rPr>
          <w:rFonts w:eastAsia="新細明體" w:hint="eastAsia"/>
          <w:color w:val="000000" w:themeColor="text1"/>
          <w:lang w:eastAsia="zh-TW"/>
        </w:rPr>
        <w:t>VII</w:t>
      </w:r>
      <w:r w:rsidRPr="000512B4">
        <w:rPr>
          <w:color w:val="000000" w:themeColor="text1"/>
        </w:rPr>
        <w:t>. Rights and Obligations of Resident Startup Teams</w:t>
      </w:r>
    </w:p>
    <w:p w14:paraId="087F9A8B" w14:textId="02556488" w:rsidR="00CC17D4" w:rsidRPr="000512B4" w:rsidRDefault="002208D9" w:rsidP="00DB6171">
      <w:pPr>
        <w:pStyle w:val="31"/>
        <w:numPr>
          <w:ilvl w:val="0"/>
          <w:numId w:val="17"/>
        </w:numPr>
        <w:rPr>
          <w:color w:val="000000" w:themeColor="text1"/>
        </w:rPr>
      </w:pPr>
      <w:r w:rsidRPr="000512B4">
        <w:rPr>
          <w:color w:val="000000" w:themeColor="text1"/>
        </w:rPr>
        <w:t xml:space="preserve"> Rights</w:t>
      </w:r>
    </w:p>
    <w:p w14:paraId="22588E34" w14:textId="77777777" w:rsidR="00CC17D4" w:rsidRPr="000512B4" w:rsidRDefault="002208D9">
      <w:pPr>
        <w:rPr>
          <w:color w:val="000000" w:themeColor="text1"/>
        </w:rPr>
      </w:pPr>
      <w:r w:rsidRPr="000512B4">
        <w:rPr>
          <w:color w:val="000000" w:themeColor="text1"/>
        </w:rPr>
        <w:t>A resident team may:</w:t>
      </w:r>
    </w:p>
    <w:p w14:paraId="3A543436" w14:textId="44637B31" w:rsidR="00CC17D4" w:rsidRPr="003D74CD" w:rsidRDefault="002208D9" w:rsidP="003D74CD">
      <w:pPr>
        <w:pStyle w:val="ae"/>
        <w:numPr>
          <w:ilvl w:val="0"/>
          <w:numId w:val="18"/>
        </w:numPr>
        <w:rPr>
          <w:color w:val="000000" w:themeColor="text1"/>
        </w:rPr>
      </w:pPr>
      <w:r w:rsidRPr="003D74CD">
        <w:rPr>
          <w:color w:val="000000" w:themeColor="text1"/>
        </w:rPr>
        <w:t xml:space="preserve">Participate in entrepreneurship courses and matchmaking events </w:t>
      </w:r>
      <w:r w:rsidR="0056148B">
        <w:t>free of charge</w:t>
      </w:r>
      <w:r w:rsidRPr="003D74CD">
        <w:rPr>
          <w:color w:val="000000" w:themeColor="text1"/>
        </w:rPr>
        <w:t>, subject to capacity constraints.</w:t>
      </w:r>
    </w:p>
    <w:p w14:paraId="123AABC4" w14:textId="77777777" w:rsidR="00D57597" w:rsidRPr="00D57597" w:rsidRDefault="002208D9" w:rsidP="00D57597">
      <w:pPr>
        <w:pStyle w:val="ae"/>
        <w:numPr>
          <w:ilvl w:val="0"/>
          <w:numId w:val="18"/>
        </w:numPr>
        <w:rPr>
          <w:color w:val="000000" w:themeColor="text1"/>
        </w:rPr>
      </w:pPr>
      <w:r w:rsidRPr="003D74CD">
        <w:rPr>
          <w:color w:val="000000" w:themeColor="text1"/>
        </w:rPr>
        <w:t>Access Hub mentoring resources, apply for dedicated mentoring, and receive advisory support and linkages to external accelerators, juristic persons, and enterprises.</w:t>
      </w:r>
    </w:p>
    <w:p w14:paraId="1856B3E7" w14:textId="77777777" w:rsidR="00D57597" w:rsidRPr="00D57597" w:rsidRDefault="002208D9" w:rsidP="00D57597">
      <w:pPr>
        <w:pStyle w:val="ae"/>
        <w:numPr>
          <w:ilvl w:val="0"/>
          <w:numId w:val="18"/>
        </w:numPr>
        <w:rPr>
          <w:color w:val="000000" w:themeColor="text1"/>
        </w:rPr>
      </w:pPr>
      <w:r w:rsidRPr="00D57597">
        <w:rPr>
          <w:color w:val="000000" w:themeColor="text1"/>
        </w:rPr>
        <w:lastRenderedPageBreak/>
        <w:t>Registration Address</w:t>
      </w:r>
    </w:p>
    <w:p w14:paraId="085E45EA" w14:textId="77777777" w:rsidR="00D57597" w:rsidRPr="00D57597" w:rsidRDefault="002208D9" w:rsidP="00D57597">
      <w:pPr>
        <w:pStyle w:val="ae"/>
        <w:numPr>
          <w:ilvl w:val="0"/>
          <w:numId w:val="24"/>
        </w:numPr>
        <w:rPr>
          <w:rFonts w:eastAsia="新細明體"/>
          <w:color w:val="000000" w:themeColor="text1"/>
          <w:lang w:eastAsia="zh-TW"/>
        </w:rPr>
      </w:pPr>
      <w:r w:rsidRPr="00D57597">
        <w:rPr>
          <w:rFonts w:eastAsia="新細明體"/>
          <w:color w:val="000000" w:themeColor="text1"/>
          <w:lang w:eastAsia="zh-TW"/>
        </w:rPr>
        <w:t xml:space="preserve">Domestic teams may apply to use the Hub address as the company/business registration address. </w:t>
      </w:r>
    </w:p>
    <w:p w14:paraId="372DD73D" w14:textId="77777777" w:rsidR="00D57597" w:rsidRPr="00D57597" w:rsidRDefault="002208D9" w:rsidP="00D57597">
      <w:pPr>
        <w:pStyle w:val="ae"/>
        <w:numPr>
          <w:ilvl w:val="0"/>
          <w:numId w:val="24"/>
        </w:numPr>
        <w:rPr>
          <w:rFonts w:eastAsia="新細明體"/>
          <w:color w:val="000000" w:themeColor="text1"/>
          <w:lang w:eastAsia="zh-TW"/>
        </w:rPr>
      </w:pPr>
      <w:r w:rsidRPr="00D57597">
        <w:rPr>
          <w:rFonts w:eastAsia="新細明體"/>
          <w:color w:val="000000" w:themeColor="text1"/>
          <w:lang w:eastAsia="zh-TW"/>
        </w:rPr>
        <w:t xml:space="preserve">International teams may apply to use the Hub address to establish a Taiwan company, business, or branch. </w:t>
      </w:r>
    </w:p>
    <w:p w14:paraId="48C4AEB1" w14:textId="3779CD29" w:rsidR="00D57597" w:rsidRPr="00D57597" w:rsidRDefault="002208D9" w:rsidP="00D57597">
      <w:pPr>
        <w:pStyle w:val="ae"/>
        <w:numPr>
          <w:ilvl w:val="0"/>
          <w:numId w:val="24"/>
        </w:numPr>
        <w:rPr>
          <w:rFonts w:eastAsia="新細明體"/>
          <w:color w:val="000000" w:themeColor="text1"/>
          <w:lang w:eastAsia="zh-TW"/>
        </w:rPr>
      </w:pPr>
      <w:r w:rsidRPr="00D57597">
        <w:rPr>
          <w:rFonts w:eastAsia="新細明體"/>
          <w:color w:val="000000" w:themeColor="text1"/>
          <w:lang w:eastAsia="zh-TW"/>
        </w:rPr>
        <w:t xml:space="preserve">The Operating Team may provide documents needed for such applications, but the resident team </w:t>
      </w:r>
      <w:r w:rsidR="00E952ED">
        <w:t>shall be responsible for completing the registration process</w:t>
      </w:r>
      <w:r w:rsidRPr="00D57597">
        <w:rPr>
          <w:rFonts w:eastAsia="新細明體"/>
          <w:color w:val="000000" w:themeColor="text1"/>
          <w:lang w:eastAsia="zh-TW"/>
        </w:rPr>
        <w:t xml:space="preserve"> in accordance with the Company Act and other applicable laws and bears all related legal obligations. </w:t>
      </w:r>
    </w:p>
    <w:p w14:paraId="54E6379C" w14:textId="74A7145A" w:rsidR="00CC17D4" w:rsidRPr="00D57597" w:rsidRDefault="002208D9" w:rsidP="00D57597">
      <w:pPr>
        <w:pStyle w:val="ae"/>
        <w:numPr>
          <w:ilvl w:val="0"/>
          <w:numId w:val="24"/>
        </w:numPr>
        <w:rPr>
          <w:rFonts w:eastAsia="新細明體"/>
          <w:color w:val="000000" w:themeColor="text1"/>
          <w:lang w:eastAsia="zh-TW"/>
        </w:rPr>
      </w:pPr>
      <w:r w:rsidRPr="00D57597">
        <w:rPr>
          <w:rFonts w:eastAsia="新細明體"/>
          <w:color w:val="000000" w:themeColor="text1"/>
          <w:lang w:eastAsia="zh-TW"/>
        </w:rPr>
        <w:t>Before departure, the resident team must complete all procedures to relocate its registration address out of the Hub within the required timeline. Detailed requirements are governed by the Residency Handbook.</w:t>
      </w:r>
    </w:p>
    <w:p w14:paraId="1EF04D44" w14:textId="588F9D57" w:rsidR="00CC17D4" w:rsidRPr="000512B4" w:rsidRDefault="002208D9" w:rsidP="00DB6171">
      <w:pPr>
        <w:pStyle w:val="31"/>
        <w:numPr>
          <w:ilvl w:val="0"/>
          <w:numId w:val="17"/>
        </w:numPr>
        <w:rPr>
          <w:color w:val="000000" w:themeColor="text1"/>
        </w:rPr>
      </w:pPr>
      <w:r w:rsidRPr="000512B4">
        <w:rPr>
          <w:color w:val="000000" w:themeColor="text1"/>
        </w:rPr>
        <w:t>Core Residency Obligations</w:t>
      </w:r>
    </w:p>
    <w:p w14:paraId="43287399" w14:textId="77777777" w:rsidR="00DB6171" w:rsidRDefault="002208D9">
      <w:pPr>
        <w:rPr>
          <w:rFonts w:eastAsia="新細明體"/>
          <w:color w:val="000000" w:themeColor="text1"/>
          <w:lang w:eastAsia="zh-TW"/>
        </w:rPr>
      </w:pPr>
      <w:r w:rsidRPr="000512B4">
        <w:rPr>
          <w:color w:val="000000" w:themeColor="text1"/>
        </w:rPr>
        <w:t>Resident teams must:</w:t>
      </w:r>
    </w:p>
    <w:p w14:paraId="00DE6713" w14:textId="56C066E0" w:rsidR="00CC17D4" w:rsidRPr="000512B4" w:rsidRDefault="002208D9" w:rsidP="003D74CD">
      <w:pPr>
        <w:pStyle w:val="ae"/>
        <w:numPr>
          <w:ilvl w:val="0"/>
          <w:numId w:val="19"/>
        </w:numPr>
        <w:rPr>
          <w:color w:val="000000" w:themeColor="text1"/>
        </w:rPr>
      </w:pPr>
      <w:r w:rsidRPr="000512B4">
        <w:rPr>
          <w:color w:val="000000" w:themeColor="text1"/>
        </w:rPr>
        <w:t xml:space="preserve">For international teams: submit a concrete Taiwan landing action plan and ensure that core members substantively </w:t>
      </w:r>
      <w:r w:rsidR="00E73F04">
        <w:t>be physically stationed and operate</w:t>
      </w:r>
      <w:r w:rsidRPr="000512B4">
        <w:rPr>
          <w:color w:val="000000" w:themeColor="text1"/>
        </w:rPr>
        <w:t xml:space="preserve"> at the Hub.</w:t>
      </w:r>
    </w:p>
    <w:p w14:paraId="6F24EF6F" w14:textId="561B1187" w:rsidR="00CC17D4" w:rsidRPr="000512B4" w:rsidRDefault="002208D9" w:rsidP="003D74CD">
      <w:pPr>
        <w:pStyle w:val="ae"/>
        <w:numPr>
          <w:ilvl w:val="0"/>
          <w:numId w:val="19"/>
        </w:numPr>
        <w:rPr>
          <w:color w:val="000000" w:themeColor="text1"/>
        </w:rPr>
      </w:pPr>
      <w:r w:rsidRPr="000512B4">
        <w:rPr>
          <w:color w:val="000000" w:themeColor="text1"/>
        </w:rPr>
        <w:t>Maintain Taipei City as the registered address throughout the residency term, or relocate registration into Taipei City within six (6) months after move-in, and maintain it through the end of residency, as evidenced by the Ministry of Economic Affairs public registry.</w:t>
      </w:r>
    </w:p>
    <w:p w14:paraId="7702639E" w14:textId="218D9103" w:rsidR="00CC17D4" w:rsidRPr="000512B4" w:rsidRDefault="002208D9" w:rsidP="003D74CD">
      <w:pPr>
        <w:pStyle w:val="ae"/>
        <w:numPr>
          <w:ilvl w:val="0"/>
          <w:numId w:val="19"/>
        </w:numPr>
        <w:rPr>
          <w:color w:val="000000" w:themeColor="text1"/>
        </w:rPr>
      </w:pPr>
      <w:r w:rsidRPr="000512B4">
        <w:rPr>
          <w:color w:val="000000" w:themeColor="text1"/>
        </w:rPr>
        <w:t>Cooperate with case tracking and mentoring follow-ups arranged by the Operating Team, and actively participate in public demo, exchange, or sharing events hosted by the Hub.</w:t>
      </w:r>
    </w:p>
    <w:p w14:paraId="31B4982A" w14:textId="13BEC820" w:rsidR="00CC17D4" w:rsidRPr="000512B4" w:rsidRDefault="002208D9" w:rsidP="003D74CD">
      <w:pPr>
        <w:pStyle w:val="ae"/>
        <w:numPr>
          <w:ilvl w:val="0"/>
          <w:numId w:val="19"/>
        </w:numPr>
        <w:rPr>
          <w:color w:val="000000" w:themeColor="text1"/>
        </w:rPr>
      </w:pPr>
      <w:r w:rsidRPr="000512B4">
        <w:rPr>
          <w:color w:val="000000" w:themeColor="text1"/>
        </w:rPr>
        <w:t>Regularly report operating progress, submit outcome reports, and participate in evaluations and satisfaction surveys as required for resource support decisions.</w:t>
      </w:r>
    </w:p>
    <w:p w14:paraId="7B79BC12" w14:textId="77777777" w:rsidR="00D57597" w:rsidRPr="00D57597" w:rsidRDefault="002208D9" w:rsidP="00D57597">
      <w:pPr>
        <w:pStyle w:val="ae"/>
        <w:numPr>
          <w:ilvl w:val="0"/>
          <w:numId w:val="19"/>
        </w:numPr>
        <w:rPr>
          <w:color w:val="000000" w:themeColor="text1"/>
        </w:rPr>
      </w:pPr>
      <w:r w:rsidRPr="00D57597">
        <w:rPr>
          <w:color w:val="000000" w:themeColor="text1"/>
        </w:rPr>
        <w:t xml:space="preserve">Comply with the residency contract, the Residency Handbook, and all management rules </w:t>
      </w:r>
    </w:p>
    <w:p w14:paraId="7BE504A9" w14:textId="7EB83297" w:rsidR="00D57597" w:rsidRPr="000512B4" w:rsidRDefault="00D57597" w:rsidP="00D57597">
      <w:pPr>
        <w:pStyle w:val="21"/>
        <w:rPr>
          <w:color w:val="000000" w:themeColor="text1"/>
        </w:rPr>
      </w:pPr>
      <w:r>
        <w:rPr>
          <w:rFonts w:eastAsia="新細明體" w:hint="eastAsia"/>
          <w:color w:val="000000" w:themeColor="text1"/>
          <w:lang w:eastAsia="zh-TW"/>
        </w:rPr>
        <w:lastRenderedPageBreak/>
        <w:t>VIII</w:t>
      </w:r>
      <w:r w:rsidRPr="000512B4">
        <w:rPr>
          <w:color w:val="000000" w:themeColor="text1"/>
        </w:rPr>
        <w:t>. Other Notices</w:t>
      </w:r>
    </w:p>
    <w:p w14:paraId="1BF0D1A4" w14:textId="44A91DC5" w:rsidR="00D57597" w:rsidRPr="00D57597" w:rsidRDefault="00D57597" w:rsidP="00D57597">
      <w:pPr>
        <w:pStyle w:val="31"/>
        <w:numPr>
          <w:ilvl w:val="0"/>
          <w:numId w:val="27"/>
        </w:numPr>
        <w:rPr>
          <w:b w:val="0"/>
          <w:bCs w:val="0"/>
          <w:color w:val="000000" w:themeColor="text1"/>
        </w:rPr>
      </w:pPr>
      <w:r w:rsidRPr="00D57597">
        <w:rPr>
          <w:b w:val="0"/>
          <w:bCs w:val="0"/>
          <w:color w:val="000000" w:themeColor="text1"/>
        </w:rPr>
        <w:t>DOED and the Hub reserve the right to revise these Guidelines based on actual circumstances. Applicants and resident teams must follow the latest version published by the Hub.</w:t>
      </w:r>
      <w:r w:rsidR="00A55407" w:rsidRPr="00A55407">
        <w:t xml:space="preserve"> </w:t>
      </w:r>
      <w:r w:rsidR="00A55407" w:rsidRPr="00A55407">
        <w:rPr>
          <w:b w:val="0"/>
          <w:bCs w:val="0"/>
          <w:color w:val="000000" w:themeColor="text1"/>
        </w:rPr>
        <w:t>During the first year following the Hub’s official launch, applicants approved for residency shall not be subject to the residency timeline set forth in Section V of these Guidelines, and shall instead be governed by the terms of the lease agreement.</w:t>
      </w:r>
    </w:p>
    <w:p w14:paraId="00A73901" w14:textId="77777777" w:rsidR="00D57597" w:rsidRPr="00D57597" w:rsidRDefault="00D57597" w:rsidP="00D57597">
      <w:pPr>
        <w:pStyle w:val="31"/>
        <w:numPr>
          <w:ilvl w:val="0"/>
          <w:numId w:val="27"/>
        </w:numPr>
        <w:rPr>
          <w:b w:val="0"/>
          <w:bCs w:val="0"/>
          <w:color w:val="000000" w:themeColor="text1"/>
        </w:rPr>
      </w:pPr>
      <w:r w:rsidRPr="00D57597">
        <w:rPr>
          <w:b w:val="0"/>
          <w:bCs w:val="0"/>
          <w:color w:val="000000" w:themeColor="text1"/>
        </w:rPr>
        <w:t>All information and materials provided by the applicant must be truthful and must not infringe any third-party intellectual property rights (including patents, copyrights, trademarks, or trade secrets). The applicant bears all legal responsibility for false statements or unlawful conduct.</w:t>
      </w:r>
    </w:p>
    <w:p w14:paraId="2A428639" w14:textId="77777777" w:rsidR="00D57597" w:rsidRPr="00D57597" w:rsidRDefault="00D57597" w:rsidP="00D57597">
      <w:pPr>
        <w:pStyle w:val="31"/>
        <w:numPr>
          <w:ilvl w:val="0"/>
          <w:numId w:val="27"/>
        </w:numPr>
        <w:rPr>
          <w:b w:val="0"/>
          <w:bCs w:val="0"/>
          <w:color w:val="000000" w:themeColor="text1"/>
        </w:rPr>
      </w:pPr>
      <w:r w:rsidRPr="00D57597">
        <w:rPr>
          <w:b w:val="0"/>
          <w:bCs w:val="0"/>
          <w:color w:val="000000" w:themeColor="text1"/>
        </w:rPr>
        <w:t>If Hub space is fully allocated, the Hub may still accept applications and, if approved, place the applicant on a waitlist by submission order. The waitlist is valid for six (6) months. The Hub will notify applicants in priority order as space becomes available.</w:t>
      </w:r>
    </w:p>
    <w:p w14:paraId="55240EA6" w14:textId="77777777" w:rsidR="00D57597" w:rsidRPr="00D57597" w:rsidRDefault="00D57597" w:rsidP="00D57597">
      <w:pPr>
        <w:pStyle w:val="31"/>
        <w:numPr>
          <w:ilvl w:val="0"/>
          <w:numId w:val="27"/>
        </w:numPr>
        <w:rPr>
          <w:b w:val="0"/>
          <w:bCs w:val="0"/>
          <w:color w:val="000000" w:themeColor="text1"/>
        </w:rPr>
      </w:pPr>
      <w:r w:rsidRPr="00D57597">
        <w:rPr>
          <w:b w:val="0"/>
          <w:bCs w:val="0"/>
          <w:color w:val="000000" w:themeColor="text1"/>
        </w:rPr>
        <w:t>If a bilingual version exists, the Chinese version controls. Any interpretive dispute must be resolved by reference to the Chinese text.</w:t>
      </w:r>
    </w:p>
    <w:p w14:paraId="3E51EC39" w14:textId="5870F527" w:rsidR="007319B7" w:rsidRDefault="007319B7">
      <w:pPr>
        <w:rPr>
          <w:rFonts w:asciiTheme="majorHAnsi" w:eastAsia="新細明體" w:hAnsiTheme="majorHAnsi" w:cstheme="majorBidi"/>
          <w:b/>
          <w:bCs/>
          <w:color w:val="000000" w:themeColor="text1"/>
          <w:sz w:val="26"/>
          <w:szCs w:val="26"/>
          <w:lang w:eastAsia="zh-TW"/>
        </w:rPr>
      </w:pPr>
      <w:r>
        <w:rPr>
          <w:rFonts w:eastAsia="新細明體"/>
          <w:color w:val="000000" w:themeColor="text1"/>
          <w:lang w:eastAsia="zh-TW"/>
        </w:rPr>
        <w:br w:type="page"/>
      </w:r>
    </w:p>
    <w:p w14:paraId="7277D2F5" w14:textId="67E0108C" w:rsidR="00CC17D4" w:rsidRPr="000512B4" w:rsidRDefault="002208D9">
      <w:pPr>
        <w:pStyle w:val="21"/>
        <w:rPr>
          <w:color w:val="000000" w:themeColor="text1"/>
        </w:rPr>
      </w:pPr>
      <w:r w:rsidRPr="000512B4">
        <w:rPr>
          <w:color w:val="000000" w:themeColor="text1"/>
        </w:rPr>
        <w:lastRenderedPageBreak/>
        <w:t>Appendix 1: Residency Application Form</w:t>
      </w:r>
    </w:p>
    <w:p w14:paraId="79E4E3C2" w14:textId="4CFB07EA" w:rsidR="00CC17D4" w:rsidRDefault="002208D9">
      <w:pPr>
        <w:rPr>
          <w:rFonts w:eastAsia="新細明體"/>
          <w:color w:val="000000" w:themeColor="text1"/>
          <w:lang w:eastAsia="zh-TW"/>
        </w:rPr>
      </w:pPr>
      <w:r w:rsidRPr="000512B4">
        <w:rPr>
          <w:color w:val="000000" w:themeColor="text1"/>
        </w:rPr>
        <w:t xml:space="preserve">Applicants must use the official form downloaded from the Hub website. </w:t>
      </w:r>
    </w:p>
    <w:tbl>
      <w:tblPr>
        <w:tblStyle w:val="aff2"/>
        <w:tblW w:w="0" w:type="auto"/>
        <w:tblLook w:val="04A0" w:firstRow="1" w:lastRow="0" w:firstColumn="1" w:lastColumn="0" w:noHBand="0" w:noVBand="1"/>
      </w:tblPr>
      <w:tblGrid>
        <w:gridCol w:w="4315"/>
        <w:gridCol w:w="4315"/>
      </w:tblGrid>
      <w:tr w:rsidR="00042D7A" w:rsidRPr="00042D7A" w14:paraId="1AED5A0D" w14:textId="77777777" w:rsidTr="00F908B4">
        <w:tc>
          <w:tcPr>
            <w:tcW w:w="4320" w:type="dxa"/>
          </w:tcPr>
          <w:p w14:paraId="69C5C70A"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Field</w:t>
            </w:r>
          </w:p>
        </w:tc>
        <w:tc>
          <w:tcPr>
            <w:tcW w:w="4320" w:type="dxa"/>
          </w:tcPr>
          <w:p w14:paraId="6371AC56"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English Label</w:t>
            </w:r>
          </w:p>
        </w:tc>
      </w:tr>
      <w:tr w:rsidR="00042D7A" w:rsidRPr="00042D7A" w14:paraId="64E09A3A" w14:textId="77777777" w:rsidTr="00F908B4">
        <w:tc>
          <w:tcPr>
            <w:tcW w:w="4320" w:type="dxa"/>
          </w:tcPr>
          <w:p w14:paraId="1EA47366"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Startup Team Type</w:t>
            </w:r>
          </w:p>
        </w:tc>
        <w:tc>
          <w:tcPr>
            <w:tcW w:w="4320" w:type="dxa"/>
          </w:tcPr>
          <w:p w14:paraId="1E0B7F9B"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Startup Team Type: </w:t>
            </w:r>
          </w:p>
          <w:p w14:paraId="25EBDF41" w14:textId="66672536"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Company/Business □ Preparatory Office</w:t>
            </w:r>
          </w:p>
        </w:tc>
      </w:tr>
      <w:tr w:rsidR="00042D7A" w:rsidRPr="00042D7A" w14:paraId="7AF1EF41" w14:textId="77777777" w:rsidTr="00F908B4">
        <w:tc>
          <w:tcPr>
            <w:tcW w:w="4320" w:type="dxa"/>
          </w:tcPr>
          <w:p w14:paraId="17898634"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Company/Business Name</w:t>
            </w:r>
          </w:p>
        </w:tc>
        <w:tc>
          <w:tcPr>
            <w:tcW w:w="4320" w:type="dxa"/>
          </w:tcPr>
          <w:p w14:paraId="11EE3848"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Company/Business Name</w:t>
            </w:r>
          </w:p>
        </w:tc>
      </w:tr>
      <w:tr w:rsidR="00042D7A" w:rsidRPr="00042D7A" w14:paraId="40461D1C" w14:textId="77777777" w:rsidTr="00F908B4">
        <w:tc>
          <w:tcPr>
            <w:tcW w:w="4320" w:type="dxa"/>
          </w:tcPr>
          <w:p w14:paraId="2E748D4C"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Unified Business Number</w:t>
            </w:r>
          </w:p>
        </w:tc>
        <w:tc>
          <w:tcPr>
            <w:tcW w:w="4320" w:type="dxa"/>
          </w:tcPr>
          <w:p w14:paraId="485D59AD"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Unified Business Number</w:t>
            </w:r>
          </w:p>
        </w:tc>
      </w:tr>
      <w:tr w:rsidR="00042D7A" w:rsidRPr="00042D7A" w14:paraId="2DE739E4" w14:textId="77777777" w:rsidTr="00F908B4">
        <w:tc>
          <w:tcPr>
            <w:tcW w:w="4320" w:type="dxa"/>
          </w:tcPr>
          <w:p w14:paraId="5CD79E27"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Date of Establishment Approval</w:t>
            </w:r>
          </w:p>
        </w:tc>
        <w:tc>
          <w:tcPr>
            <w:tcW w:w="4320" w:type="dxa"/>
          </w:tcPr>
          <w:p w14:paraId="3FA7274A"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Date of Establishment Approval: </w:t>
            </w:r>
          </w:p>
          <w:p w14:paraId="56DB15FC" w14:textId="3D63FB29"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YYYY-MM-DD </w:t>
            </w:r>
          </w:p>
        </w:tc>
      </w:tr>
      <w:tr w:rsidR="00042D7A" w:rsidRPr="00042D7A" w14:paraId="2E24FF5F" w14:textId="77777777" w:rsidTr="00F908B4">
        <w:tc>
          <w:tcPr>
            <w:tcW w:w="4320" w:type="dxa"/>
          </w:tcPr>
          <w:p w14:paraId="1AA4B566"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Paid-in Capital</w:t>
            </w:r>
          </w:p>
        </w:tc>
        <w:tc>
          <w:tcPr>
            <w:tcW w:w="4320" w:type="dxa"/>
          </w:tcPr>
          <w:p w14:paraId="3BCFCE2A"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Paid-in Capital (amount)</w:t>
            </w:r>
          </w:p>
        </w:tc>
      </w:tr>
      <w:tr w:rsidR="00042D7A" w:rsidRPr="00042D7A" w14:paraId="7EAA86A5" w14:textId="77777777" w:rsidTr="00F908B4">
        <w:tc>
          <w:tcPr>
            <w:tcW w:w="4320" w:type="dxa"/>
          </w:tcPr>
          <w:p w14:paraId="5C659862"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Number of Employees</w:t>
            </w:r>
          </w:p>
        </w:tc>
        <w:tc>
          <w:tcPr>
            <w:tcW w:w="4320" w:type="dxa"/>
          </w:tcPr>
          <w:p w14:paraId="4093BC45"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Number of Employees</w:t>
            </w:r>
          </w:p>
        </w:tc>
      </w:tr>
      <w:tr w:rsidR="00042D7A" w:rsidRPr="00042D7A" w14:paraId="010FA692" w14:textId="77777777" w:rsidTr="00F908B4">
        <w:tc>
          <w:tcPr>
            <w:tcW w:w="4320" w:type="dxa"/>
          </w:tcPr>
          <w:p w14:paraId="6EFC5123"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Registered Address</w:t>
            </w:r>
          </w:p>
        </w:tc>
        <w:tc>
          <w:tcPr>
            <w:tcW w:w="4320" w:type="dxa"/>
          </w:tcPr>
          <w:p w14:paraId="60C1ACD1"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Registered Address</w:t>
            </w:r>
          </w:p>
        </w:tc>
      </w:tr>
      <w:tr w:rsidR="00042D7A" w:rsidRPr="00042D7A" w14:paraId="5853AAA6" w14:textId="77777777" w:rsidTr="00F908B4">
        <w:tc>
          <w:tcPr>
            <w:tcW w:w="4320" w:type="dxa"/>
          </w:tcPr>
          <w:p w14:paraId="5075DDF2"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Mailing Address</w:t>
            </w:r>
          </w:p>
        </w:tc>
        <w:tc>
          <w:tcPr>
            <w:tcW w:w="4320" w:type="dxa"/>
          </w:tcPr>
          <w:p w14:paraId="54D05B84"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Mailing Address</w:t>
            </w:r>
          </w:p>
        </w:tc>
      </w:tr>
      <w:tr w:rsidR="00042D7A" w:rsidRPr="00042D7A" w14:paraId="1ECD96F1" w14:textId="77777777" w:rsidTr="00F908B4">
        <w:tc>
          <w:tcPr>
            <w:tcW w:w="4320" w:type="dxa"/>
          </w:tcPr>
          <w:p w14:paraId="1CC67806"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Team Lead</w:t>
            </w:r>
          </w:p>
        </w:tc>
        <w:tc>
          <w:tcPr>
            <w:tcW w:w="4320" w:type="dxa"/>
          </w:tcPr>
          <w:p w14:paraId="7C77AEE2"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Team Lead: </w:t>
            </w:r>
          </w:p>
          <w:p w14:paraId="56AEEF99" w14:textId="20B94A16" w:rsidR="00042D7A" w:rsidRDefault="00000543" w:rsidP="00042D7A">
            <w:pPr>
              <w:spacing w:after="200" w:line="276" w:lineRule="auto"/>
              <w:rPr>
                <w:rFonts w:eastAsia="新細明體"/>
                <w:color w:val="000000" w:themeColor="text1"/>
                <w:lang w:eastAsia="zh-TW"/>
              </w:rPr>
            </w:pPr>
            <w:r>
              <w:rPr>
                <w:rFonts w:eastAsia="新細明體"/>
                <w:color w:val="000000" w:themeColor="text1"/>
                <w:lang w:eastAsia="zh-TW"/>
              </w:rPr>
              <w:t>N</w:t>
            </w:r>
            <w:r w:rsidRPr="00042D7A">
              <w:rPr>
                <w:rFonts w:eastAsia="新細明體"/>
                <w:color w:val="000000" w:themeColor="text1"/>
                <w:lang w:eastAsia="zh-TW"/>
              </w:rPr>
              <w:t xml:space="preserve">ame </w:t>
            </w:r>
            <w:r w:rsidR="00042D7A" w:rsidRPr="00042D7A">
              <w:rPr>
                <w:rFonts w:eastAsia="新細明體"/>
                <w:color w:val="000000" w:themeColor="text1"/>
                <w:lang w:eastAsia="zh-TW"/>
              </w:rPr>
              <w:t xml:space="preserve">/ </w:t>
            </w:r>
            <w:r>
              <w:rPr>
                <w:rFonts w:eastAsia="新細明體"/>
                <w:color w:val="000000" w:themeColor="text1"/>
                <w:lang w:eastAsia="zh-TW"/>
              </w:rPr>
              <w:t>T</w:t>
            </w:r>
            <w:r w:rsidRPr="00042D7A">
              <w:rPr>
                <w:rFonts w:eastAsia="新細明體"/>
                <w:color w:val="000000" w:themeColor="text1"/>
                <w:lang w:eastAsia="zh-TW"/>
              </w:rPr>
              <w:t xml:space="preserve">itle </w:t>
            </w:r>
            <w:r w:rsidR="00042D7A" w:rsidRPr="00042D7A">
              <w:rPr>
                <w:rFonts w:eastAsia="新細明體"/>
                <w:color w:val="000000" w:themeColor="text1"/>
                <w:lang w:eastAsia="zh-TW"/>
              </w:rPr>
              <w:t xml:space="preserve">/ </w:t>
            </w:r>
          </w:p>
          <w:p w14:paraId="4E8F861A" w14:textId="7F5BF4A5" w:rsidR="00042D7A" w:rsidRDefault="00000543" w:rsidP="00042D7A">
            <w:pPr>
              <w:spacing w:after="200" w:line="276" w:lineRule="auto"/>
              <w:rPr>
                <w:rFonts w:eastAsia="新細明體"/>
                <w:color w:val="000000" w:themeColor="text1"/>
                <w:lang w:eastAsia="zh-TW"/>
              </w:rPr>
            </w:pPr>
            <w:r>
              <w:rPr>
                <w:rFonts w:eastAsia="新細明體"/>
                <w:color w:val="000000" w:themeColor="text1"/>
                <w:lang w:eastAsia="zh-TW"/>
              </w:rPr>
              <w:t>G</w:t>
            </w:r>
            <w:r w:rsidRPr="00042D7A">
              <w:rPr>
                <w:rFonts w:eastAsia="新細明體"/>
                <w:color w:val="000000" w:themeColor="text1"/>
                <w:lang w:eastAsia="zh-TW"/>
              </w:rPr>
              <w:t xml:space="preserve">ender </w:t>
            </w:r>
            <w:r w:rsidR="00042D7A" w:rsidRPr="00042D7A">
              <w:rPr>
                <w:rFonts w:eastAsia="新細明體"/>
                <w:color w:val="000000" w:themeColor="text1"/>
                <w:lang w:eastAsia="zh-TW"/>
              </w:rPr>
              <w:t xml:space="preserve">(Male / Female / Other) / </w:t>
            </w:r>
          </w:p>
          <w:p w14:paraId="04F7503B" w14:textId="5D5C5698" w:rsidR="00042D7A" w:rsidRPr="00042D7A" w:rsidRDefault="003B7109" w:rsidP="00042D7A">
            <w:pPr>
              <w:spacing w:after="200" w:line="276" w:lineRule="auto"/>
              <w:rPr>
                <w:rFonts w:eastAsia="新細明體"/>
                <w:color w:val="000000" w:themeColor="text1"/>
                <w:lang w:eastAsia="zh-TW"/>
              </w:rPr>
            </w:pPr>
            <w:r>
              <w:rPr>
                <w:rFonts w:eastAsia="新細明體" w:hint="eastAsia"/>
                <w:color w:val="000000" w:themeColor="text1"/>
                <w:lang w:eastAsia="zh-TW"/>
              </w:rPr>
              <w:t>T</w:t>
            </w:r>
            <w:r w:rsidR="00042D7A" w:rsidRPr="00042D7A">
              <w:rPr>
                <w:rFonts w:eastAsia="新細明體"/>
                <w:color w:val="000000" w:themeColor="text1"/>
                <w:lang w:eastAsia="zh-TW"/>
              </w:rPr>
              <w:t xml:space="preserve">elephone / </w:t>
            </w:r>
            <w:r>
              <w:rPr>
                <w:rFonts w:eastAsia="新細明體" w:hint="eastAsia"/>
                <w:color w:val="000000" w:themeColor="text1"/>
                <w:lang w:eastAsia="zh-TW"/>
              </w:rPr>
              <w:t>M</w:t>
            </w:r>
            <w:r w:rsidR="00042D7A" w:rsidRPr="00042D7A">
              <w:rPr>
                <w:rFonts w:eastAsia="新細明體"/>
                <w:color w:val="000000" w:themeColor="text1"/>
                <w:lang w:eastAsia="zh-TW"/>
              </w:rPr>
              <w:t xml:space="preserve">obile / </w:t>
            </w:r>
            <w:r>
              <w:rPr>
                <w:rFonts w:eastAsia="新細明體" w:hint="eastAsia"/>
                <w:color w:val="000000" w:themeColor="text1"/>
                <w:lang w:eastAsia="zh-TW"/>
              </w:rPr>
              <w:t>E</w:t>
            </w:r>
            <w:r w:rsidR="00042D7A" w:rsidRPr="00042D7A">
              <w:rPr>
                <w:rFonts w:eastAsia="新細明體"/>
                <w:color w:val="000000" w:themeColor="text1"/>
                <w:lang w:eastAsia="zh-TW"/>
              </w:rPr>
              <w:t>mail</w:t>
            </w:r>
          </w:p>
        </w:tc>
      </w:tr>
      <w:tr w:rsidR="00042D7A" w:rsidRPr="00042D7A" w14:paraId="7C75AF67" w14:textId="77777777" w:rsidTr="00F908B4">
        <w:tc>
          <w:tcPr>
            <w:tcW w:w="4320" w:type="dxa"/>
          </w:tcPr>
          <w:p w14:paraId="5024552C"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Primary Contact Person</w:t>
            </w:r>
          </w:p>
        </w:tc>
        <w:tc>
          <w:tcPr>
            <w:tcW w:w="4320" w:type="dxa"/>
          </w:tcPr>
          <w:p w14:paraId="0D2DA3C9"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Primary Contact Person: </w:t>
            </w:r>
          </w:p>
          <w:p w14:paraId="7F2AFA98"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name / title / </w:t>
            </w:r>
          </w:p>
          <w:p w14:paraId="1CE4469D" w14:textId="2AF11E7A"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contact telephone / mobile / email</w:t>
            </w:r>
          </w:p>
        </w:tc>
      </w:tr>
      <w:tr w:rsidR="00042D7A" w:rsidRPr="00042D7A" w14:paraId="678B708D" w14:textId="77777777" w:rsidTr="00F908B4">
        <w:tc>
          <w:tcPr>
            <w:tcW w:w="4320" w:type="dxa"/>
          </w:tcPr>
          <w:p w14:paraId="49D6EF5D"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Expected Onsite Personnel</w:t>
            </w:r>
          </w:p>
        </w:tc>
        <w:tc>
          <w:tcPr>
            <w:tcW w:w="4320" w:type="dxa"/>
          </w:tcPr>
          <w:p w14:paraId="55A9A0D2" w14:textId="3A72DBEA"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Number of Onsite Personnel</w:t>
            </w:r>
          </w:p>
        </w:tc>
      </w:tr>
      <w:tr w:rsidR="00042D7A" w:rsidRPr="00042D7A" w14:paraId="2500A9FD" w14:textId="77777777" w:rsidTr="00F908B4">
        <w:tc>
          <w:tcPr>
            <w:tcW w:w="4320" w:type="dxa"/>
          </w:tcPr>
          <w:p w14:paraId="6B69D060"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Space Requirements</w:t>
            </w:r>
          </w:p>
        </w:tc>
        <w:tc>
          <w:tcPr>
            <w:tcW w:w="4320" w:type="dxa"/>
          </w:tcPr>
          <w:p w14:paraId="72EC9B45" w14:textId="2A0F2F75"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Space Requirements: </w:t>
            </w:r>
          </w:p>
          <w:p w14:paraId="77EA1FCF"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 Dedicated desk: ___ seats </w:t>
            </w:r>
          </w:p>
          <w:p w14:paraId="223478B0"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 Private office: ___ room(s). </w:t>
            </w:r>
          </w:p>
          <w:p w14:paraId="556BD614" w14:textId="6BD33F68"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lastRenderedPageBreak/>
              <w:t>Note: Private offices limited to one (1) room per application; final allocation subject to planning determination.</w:t>
            </w:r>
          </w:p>
        </w:tc>
      </w:tr>
      <w:tr w:rsidR="00042D7A" w:rsidRPr="00042D7A" w14:paraId="139D3A3A" w14:textId="77777777" w:rsidTr="00F908B4">
        <w:tc>
          <w:tcPr>
            <w:tcW w:w="4320" w:type="dxa"/>
          </w:tcPr>
          <w:p w14:paraId="258617E4" w14:textId="77777777" w:rsidR="00042D7A" w:rsidRP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lastRenderedPageBreak/>
              <w:t>Seal/Signature</w:t>
            </w:r>
          </w:p>
        </w:tc>
        <w:tc>
          <w:tcPr>
            <w:tcW w:w="4320" w:type="dxa"/>
          </w:tcPr>
          <w:p w14:paraId="6546CF0A" w14:textId="77777777" w:rsidR="00042D7A" w:rsidRDefault="00042D7A" w:rsidP="00042D7A">
            <w:pPr>
              <w:spacing w:after="200" w:line="276" w:lineRule="auto"/>
              <w:rPr>
                <w:rFonts w:eastAsia="新細明體"/>
                <w:color w:val="000000" w:themeColor="text1"/>
                <w:lang w:eastAsia="zh-TW"/>
              </w:rPr>
            </w:pPr>
            <w:r w:rsidRPr="00042D7A">
              <w:rPr>
                <w:rFonts w:eastAsia="新細明體"/>
                <w:color w:val="000000" w:themeColor="text1"/>
                <w:lang w:eastAsia="zh-TW"/>
              </w:rPr>
              <w:t xml:space="preserve">Seal/Signature: </w:t>
            </w:r>
          </w:p>
          <w:p w14:paraId="50216B29" w14:textId="77777777" w:rsidR="00042D7A" w:rsidRDefault="00042D7A" w:rsidP="00042D7A">
            <w:pPr>
              <w:spacing w:after="200" w:line="276" w:lineRule="auto"/>
              <w:rPr>
                <w:rFonts w:eastAsia="新細明體"/>
                <w:color w:val="000000" w:themeColor="text1"/>
                <w:lang w:eastAsia="zh-TW"/>
              </w:rPr>
            </w:pPr>
          </w:p>
          <w:p w14:paraId="2C3EDB25" w14:textId="77777777" w:rsidR="00042D7A" w:rsidRDefault="00042D7A" w:rsidP="00042D7A">
            <w:pPr>
              <w:spacing w:after="200" w:line="276" w:lineRule="auto"/>
              <w:rPr>
                <w:rFonts w:eastAsia="新細明體"/>
                <w:color w:val="000000" w:themeColor="text1"/>
                <w:lang w:eastAsia="zh-TW"/>
              </w:rPr>
            </w:pPr>
          </w:p>
          <w:p w14:paraId="244F5C86" w14:textId="395AECCA" w:rsidR="00042D7A" w:rsidRPr="00042D7A" w:rsidRDefault="004B5D0B" w:rsidP="00042D7A">
            <w:pPr>
              <w:spacing w:after="200" w:line="276" w:lineRule="auto"/>
              <w:rPr>
                <w:rFonts w:eastAsia="新細明體"/>
                <w:color w:val="000000" w:themeColor="text1"/>
                <w:lang w:eastAsia="zh-TW"/>
              </w:rPr>
            </w:pPr>
            <w:r>
              <w:t>Official Seal of the Company/Business and Responsible Person</w:t>
            </w:r>
            <w:r w:rsidR="00042D7A" w:rsidRPr="00042D7A">
              <w:rPr>
                <w:rFonts w:eastAsia="新細明體"/>
                <w:color w:val="000000" w:themeColor="text1"/>
                <w:lang w:eastAsia="zh-TW"/>
              </w:rPr>
              <w:t xml:space="preserve">; </w:t>
            </w:r>
            <w:r>
              <w:t>Preparatory Office: Signature of the Initiator</w:t>
            </w:r>
            <w:r w:rsidR="00042D7A" w:rsidRPr="00042D7A">
              <w:rPr>
                <w:rFonts w:eastAsia="新細明體"/>
                <w:color w:val="000000" w:themeColor="text1"/>
                <w:lang w:eastAsia="zh-TW"/>
              </w:rPr>
              <w:t>.</w:t>
            </w:r>
          </w:p>
        </w:tc>
      </w:tr>
    </w:tbl>
    <w:p w14:paraId="51B8A4D7" w14:textId="77777777" w:rsidR="007319B7" w:rsidRDefault="007319B7">
      <w:pPr>
        <w:rPr>
          <w:rFonts w:eastAsia="新細明體"/>
          <w:color w:val="000000" w:themeColor="text1"/>
          <w:lang w:eastAsia="zh-TW"/>
        </w:rPr>
      </w:pPr>
      <w:r>
        <w:rPr>
          <w:rFonts w:eastAsia="新細明體"/>
          <w:color w:val="000000" w:themeColor="text1"/>
          <w:lang w:eastAsia="zh-TW"/>
        </w:rPr>
        <w:br w:type="page"/>
      </w:r>
    </w:p>
    <w:p w14:paraId="5D027E4A" w14:textId="208BD8AC" w:rsidR="00CC17D4" w:rsidRPr="000512B4" w:rsidRDefault="002208D9">
      <w:pPr>
        <w:pStyle w:val="21"/>
        <w:rPr>
          <w:color w:val="000000" w:themeColor="text1"/>
        </w:rPr>
      </w:pPr>
      <w:r w:rsidRPr="000512B4">
        <w:rPr>
          <w:color w:val="000000" w:themeColor="text1"/>
        </w:rPr>
        <w:lastRenderedPageBreak/>
        <w:t>Appendix 2: Residency Operating Plan Format</w:t>
      </w:r>
    </w:p>
    <w:p w14:paraId="181F85E2" w14:textId="09DA0D6B" w:rsidR="009B4D61" w:rsidRDefault="002208D9" w:rsidP="009B4D61">
      <w:pPr>
        <w:rPr>
          <w:rFonts w:eastAsia="新細明體"/>
          <w:color w:val="000000" w:themeColor="text1"/>
          <w:lang w:eastAsia="zh-TW"/>
        </w:rPr>
      </w:pPr>
      <w:r w:rsidRPr="000512B4">
        <w:rPr>
          <w:color w:val="000000" w:themeColor="text1"/>
        </w:rPr>
        <w:t xml:space="preserve">Applicants must use the official template downloaded from the Hub website. </w:t>
      </w:r>
    </w:p>
    <w:p w14:paraId="59A27202" w14:textId="16CB80F9" w:rsidR="00226A48" w:rsidRPr="00226A48" w:rsidRDefault="00226A48" w:rsidP="009B4D61">
      <w:pPr>
        <w:rPr>
          <w:rFonts w:eastAsia="新細明體"/>
          <w:color w:val="000000" w:themeColor="text1"/>
          <w:lang w:eastAsia="zh-TW"/>
        </w:rPr>
      </w:pPr>
      <w:r w:rsidRPr="00226A48">
        <w:rPr>
          <w:rFonts w:eastAsia="新細明體"/>
          <w:color w:val="000000" w:themeColor="text1"/>
          <w:lang w:eastAsia="zh-TW"/>
        </w:rPr>
        <w:t>InnoPad Taipei Residency Operating Plan</w:t>
      </w:r>
    </w:p>
    <w:p w14:paraId="3F4B7BF6" w14:textId="1EE7534A"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InnoPad Taipei prioritizes startup teams with innovative technology, cross-domain applications, and overseas expansion potential. The Hub provides resource integration and network linkages to drive industry upgrading, international market growth, and a diversified innovation ecosystem.</w:t>
      </w:r>
    </w:p>
    <w:p w14:paraId="0A333230" w14:textId="703AD5E6" w:rsidR="00226A48" w:rsidRPr="00226A48" w:rsidRDefault="00483EF6" w:rsidP="00226A48">
      <w:pPr>
        <w:rPr>
          <w:rFonts w:eastAsia="新細明體"/>
          <w:color w:val="000000" w:themeColor="text1"/>
          <w:lang w:eastAsia="zh-TW"/>
        </w:rPr>
      </w:pPr>
      <w:r>
        <w:rPr>
          <w:rFonts w:eastAsia="新細明體"/>
          <w:color w:val="000000" w:themeColor="text1"/>
          <w:lang w:eastAsia="zh-TW"/>
        </w:rPr>
        <w:t>F</w:t>
      </w:r>
      <w:r w:rsidR="00226A48" w:rsidRPr="00226A48">
        <w:rPr>
          <w:rFonts w:eastAsia="新細明體"/>
          <w:color w:val="000000" w:themeColor="text1"/>
          <w:lang w:eastAsia="zh-TW"/>
        </w:rPr>
        <w:t>ocus this Operating Plan on: (1) Innovation and market potential of the technology/product/service; (2) Feasible business model; (3) Fit with Hub resources, space utilization, and Taipei priority industries.</w:t>
      </w:r>
    </w:p>
    <w:p w14:paraId="018636E0" w14:textId="76374A59"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Applicants may adapt content to their model but should address all items below.</w:t>
      </w:r>
    </w:p>
    <w:p w14:paraId="14F3CF13"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I. Executive Summary</w:t>
      </w:r>
    </w:p>
    <w:p w14:paraId="21D57468" w14:textId="422C1CF6"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Limited to 500 words. Concisely state key plan elements, target markets, team strengths, and expected outcomes.</w:t>
      </w:r>
    </w:p>
    <w:p w14:paraId="14DF8084"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II. Plan Details</w:t>
      </w:r>
    </w:p>
    <w:p w14:paraId="5D520D69"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(A) Product/Technology Content</w:t>
      </w:r>
    </w:p>
    <w:p w14:paraId="40E87200" w14:textId="315FE11C" w:rsidR="00226A48" w:rsidRPr="00226A48" w:rsidRDefault="00226A48" w:rsidP="00226A48">
      <w:pPr>
        <w:pStyle w:val="ae"/>
        <w:numPr>
          <w:ilvl w:val="0"/>
          <w:numId w:val="28"/>
        </w:numPr>
        <w:rPr>
          <w:rFonts w:eastAsia="新細明體"/>
          <w:color w:val="000000" w:themeColor="text1"/>
          <w:lang w:eastAsia="zh-TW"/>
        </w:rPr>
      </w:pPr>
      <w:r w:rsidRPr="00226A48">
        <w:rPr>
          <w:rFonts w:eastAsia="新細明體"/>
          <w:color w:val="000000" w:themeColor="text1"/>
          <w:lang w:eastAsia="zh-TW"/>
        </w:rPr>
        <w:t>Description of product form, service flow, or technical solution.</w:t>
      </w:r>
    </w:p>
    <w:p w14:paraId="77F5BE0F" w14:textId="464BBD8C" w:rsidR="00226A48" w:rsidRPr="00226A48" w:rsidRDefault="00226A48" w:rsidP="00226A48">
      <w:pPr>
        <w:pStyle w:val="ae"/>
        <w:numPr>
          <w:ilvl w:val="0"/>
          <w:numId w:val="28"/>
        </w:numPr>
        <w:rPr>
          <w:rFonts w:eastAsia="新細明體"/>
          <w:color w:val="000000" w:themeColor="text1"/>
          <w:lang w:eastAsia="zh-TW"/>
        </w:rPr>
      </w:pPr>
      <w:r w:rsidRPr="00226A48">
        <w:rPr>
          <w:rFonts w:eastAsia="新細明體"/>
          <w:color w:val="000000" w:themeColor="text1"/>
          <w:lang w:eastAsia="zh-TW"/>
        </w:rPr>
        <w:t>Technology differentiation, patent strategy, or core competitive edges.</w:t>
      </w:r>
    </w:p>
    <w:p w14:paraId="10B81B36" w14:textId="62B37D8C" w:rsidR="00226A48" w:rsidRPr="00226A48" w:rsidRDefault="00226A48" w:rsidP="00226A48">
      <w:pPr>
        <w:pStyle w:val="ae"/>
        <w:numPr>
          <w:ilvl w:val="0"/>
          <w:numId w:val="28"/>
        </w:numPr>
        <w:rPr>
          <w:rFonts w:eastAsia="新細明體"/>
          <w:color w:val="000000" w:themeColor="text1"/>
          <w:lang w:eastAsia="zh-TW"/>
        </w:rPr>
      </w:pPr>
      <w:r w:rsidRPr="00226A48">
        <w:rPr>
          <w:rFonts w:eastAsia="新細明體"/>
          <w:color w:val="000000" w:themeColor="text1"/>
          <w:lang w:eastAsia="zh-TW"/>
        </w:rPr>
        <w:t>Current development status.</w:t>
      </w:r>
    </w:p>
    <w:p w14:paraId="6F51BBE4" w14:textId="1DEB1EC7" w:rsidR="00226A48" w:rsidRPr="00226A48" w:rsidRDefault="00226A48" w:rsidP="00226A48">
      <w:pPr>
        <w:pStyle w:val="ae"/>
        <w:numPr>
          <w:ilvl w:val="0"/>
          <w:numId w:val="28"/>
        </w:numPr>
        <w:rPr>
          <w:rFonts w:eastAsia="新細明體"/>
          <w:color w:val="000000" w:themeColor="text1"/>
          <w:lang w:eastAsia="zh-TW"/>
        </w:rPr>
      </w:pPr>
      <w:r w:rsidRPr="00226A48">
        <w:rPr>
          <w:rFonts w:eastAsia="新細明體"/>
          <w:color w:val="000000" w:themeColor="text1"/>
          <w:lang w:eastAsia="zh-TW"/>
        </w:rPr>
        <w:t>Future roadmap.</w:t>
      </w:r>
    </w:p>
    <w:p w14:paraId="2DA20C2C"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(B) Market and Industry Analysis</w:t>
      </w:r>
    </w:p>
    <w:p w14:paraId="3A6E1F20" w14:textId="4881DF49" w:rsidR="00226A48" w:rsidRPr="00226A48" w:rsidRDefault="00226A48" w:rsidP="00226A48">
      <w:pPr>
        <w:pStyle w:val="ae"/>
        <w:numPr>
          <w:ilvl w:val="0"/>
          <w:numId w:val="29"/>
        </w:numPr>
        <w:rPr>
          <w:rFonts w:eastAsia="新細明體"/>
          <w:color w:val="000000" w:themeColor="text1"/>
          <w:lang w:eastAsia="zh-TW"/>
        </w:rPr>
      </w:pPr>
      <w:r w:rsidRPr="00226A48">
        <w:rPr>
          <w:rFonts w:eastAsia="新細明體"/>
          <w:color w:val="000000" w:themeColor="text1"/>
          <w:lang w:eastAsia="zh-TW"/>
        </w:rPr>
        <w:t>Target markets and core user segments (including needs and scenarios).</w:t>
      </w:r>
    </w:p>
    <w:p w14:paraId="5B81C45E" w14:textId="395FCA5D" w:rsidR="00226A48" w:rsidRPr="00226A48" w:rsidRDefault="00226A48" w:rsidP="00226A48">
      <w:pPr>
        <w:pStyle w:val="ae"/>
        <w:numPr>
          <w:ilvl w:val="0"/>
          <w:numId w:val="29"/>
        </w:numPr>
        <w:rPr>
          <w:rFonts w:eastAsia="新細明體"/>
          <w:color w:val="000000" w:themeColor="text1"/>
          <w:lang w:eastAsia="zh-TW"/>
        </w:rPr>
      </w:pPr>
      <w:r w:rsidRPr="00226A48">
        <w:rPr>
          <w:rFonts w:eastAsia="新細明體"/>
          <w:color w:val="000000" w:themeColor="text1"/>
          <w:lang w:eastAsia="zh-TW"/>
        </w:rPr>
        <w:t>Market size, trends, and pain points.</w:t>
      </w:r>
    </w:p>
    <w:p w14:paraId="5AC3BC44" w14:textId="1C2CD490" w:rsidR="00226A48" w:rsidRPr="00226A48" w:rsidRDefault="00226A48" w:rsidP="00226A48">
      <w:pPr>
        <w:pStyle w:val="ae"/>
        <w:numPr>
          <w:ilvl w:val="0"/>
          <w:numId w:val="29"/>
        </w:numPr>
        <w:rPr>
          <w:rFonts w:eastAsia="新細明體"/>
          <w:color w:val="000000" w:themeColor="text1"/>
          <w:lang w:eastAsia="zh-TW"/>
        </w:rPr>
      </w:pPr>
      <w:r w:rsidRPr="00226A48">
        <w:rPr>
          <w:rFonts w:eastAsia="新細明體"/>
          <w:color w:val="000000" w:themeColor="text1"/>
          <w:lang w:eastAsia="zh-TW"/>
        </w:rPr>
        <w:t xml:space="preserve">Competitor or substitute analysis (SWOT </w:t>
      </w:r>
      <w:r w:rsidR="00483EF6">
        <w:t>analysis</w:t>
      </w:r>
      <w:r w:rsidRPr="00226A48">
        <w:rPr>
          <w:rFonts w:eastAsia="新細明體"/>
          <w:color w:val="000000" w:themeColor="text1"/>
          <w:lang w:eastAsia="zh-TW"/>
        </w:rPr>
        <w:t>).</w:t>
      </w:r>
    </w:p>
    <w:p w14:paraId="68F4D239" w14:textId="0007332B" w:rsidR="00226A48" w:rsidRPr="00226A48" w:rsidRDefault="00226A48" w:rsidP="00226A48">
      <w:pPr>
        <w:pStyle w:val="ae"/>
        <w:numPr>
          <w:ilvl w:val="0"/>
          <w:numId w:val="29"/>
        </w:numPr>
        <w:rPr>
          <w:rFonts w:eastAsia="新細明體"/>
          <w:color w:val="000000" w:themeColor="text1"/>
          <w:lang w:eastAsia="zh-TW"/>
        </w:rPr>
      </w:pPr>
      <w:r w:rsidRPr="00226A48">
        <w:rPr>
          <w:rFonts w:eastAsia="新細明體"/>
          <w:color w:val="000000" w:themeColor="text1"/>
          <w:lang w:eastAsia="zh-TW"/>
        </w:rPr>
        <w:t>Market potential of the product/technology.</w:t>
      </w:r>
    </w:p>
    <w:p w14:paraId="1331D6EF"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(C) Business Model and Go-to-Market</w:t>
      </w:r>
    </w:p>
    <w:p w14:paraId="3A68E7DD" w14:textId="48563753" w:rsidR="00226A48" w:rsidRPr="00226A48" w:rsidRDefault="00226A48" w:rsidP="00226A48">
      <w:pPr>
        <w:pStyle w:val="ae"/>
        <w:numPr>
          <w:ilvl w:val="0"/>
          <w:numId w:val="30"/>
        </w:numPr>
        <w:rPr>
          <w:rFonts w:eastAsia="新細明體"/>
          <w:color w:val="000000" w:themeColor="text1"/>
          <w:lang w:eastAsia="zh-TW"/>
        </w:rPr>
      </w:pPr>
      <w:r w:rsidRPr="00226A48">
        <w:rPr>
          <w:rFonts w:eastAsia="新細明體"/>
          <w:color w:val="000000" w:themeColor="text1"/>
          <w:lang w:eastAsia="zh-TW"/>
        </w:rPr>
        <w:t>Revenue model (e.g., B2B, B2C, platform, subscription).</w:t>
      </w:r>
    </w:p>
    <w:p w14:paraId="754396E1" w14:textId="58E43433" w:rsidR="00226A48" w:rsidRPr="00226A48" w:rsidRDefault="00226A48" w:rsidP="00226A48">
      <w:pPr>
        <w:pStyle w:val="ae"/>
        <w:numPr>
          <w:ilvl w:val="0"/>
          <w:numId w:val="30"/>
        </w:numPr>
        <w:rPr>
          <w:rFonts w:eastAsia="新細明體"/>
          <w:color w:val="000000" w:themeColor="text1"/>
          <w:lang w:eastAsia="zh-TW"/>
        </w:rPr>
      </w:pPr>
      <w:r w:rsidRPr="00226A48">
        <w:rPr>
          <w:rFonts w:eastAsia="新細明體"/>
          <w:color w:val="000000" w:themeColor="text1"/>
          <w:lang w:eastAsia="zh-TW"/>
        </w:rPr>
        <w:t>Marketing and expansion tactics (social, events, partners).</w:t>
      </w:r>
    </w:p>
    <w:p w14:paraId="3D003B30" w14:textId="77777777" w:rsidR="00226A48" w:rsidRPr="00226A48" w:rsidRDefault="00226A48" w:rsidP="00226A48">
      <w:pPr>
        <w:pStyle w:val="ae"/>
        <w:numPr>
          <w:ilvl w:val="0"/>
          <w:numId w:val="30"/>
        </w:numPr>
        <w:rPr>
          <w:rFonts w:eastAsia="新細明體"/>
          <w:color w:val="000000" w:themeColor="text1"/>
          <w:lang w:eastAsia="zh-TW"/>
        </w:rPr>
      </w:pPr>
      <w:r w:rsidRPr="00226A48">
        <w:rPr>
          <w:rFonts w:eastAsia="新細明體"/>
          <w:color w:val="000000" w:themeColor="text1"/>
          <w:lang w:eastAsia="zh-TW"/>
        </w:rPr>
        <w:t>Initial targets and scaling plan (including international roadmap).</w:t>
      </w:r>
    </w:p>
    <w:p w14:paraId="7DE4A84F" w14:textId="77777777" w:rsidR="00226A48" w:rsidRPr="00226A48" w:rsidRDefault="00226A48" w:rsidP="00226A48">
      <w:pPr>
        <w:rPr>
          <w:rFonts w:eastAsia="新細明體"/>
          <w:color w:val="000000" w:themeColor="text1"/>
          <w:lang w:eastAsia="zh-TW"/>
        </w:rPr>
      </w:pPr>
    </w:p>
    <w:p w14:paraId="4819E964"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(D) Technical Capacity and Delivery</w:t>
      </w:r>
    </w:p>
    <w:p w14:paraId="2B92E3CF" w14:textId="600876C8" w:rsidR="00226A48" w:rsidRPr="00226A48" w:rsidRDefault="00226A48" w:rsidP="00226A48">
      <w:pPr>
        <w:pStyle w:val="ae"/>
        <w:numPr>
          <w:ilvl w:val="0"/>
          <w:numId w:val="31"/>
        </w:numPr>
        <w:rPr>
          <w:rFonts w:eastAsia="新細明體"/>
          <w:color w:val="000000" w:themeColor="text1"/>
          <w:lang w:eastAsia="zh-TW"/>
        </w:rPr>
      </w:pPr>
      <w:r w:rsidRPr="00226A48">
        <w:rPr>
          <w:rFonts w:eastAsia="新細明體"/>
          <w:color w:val="000000" w:themeColor="text1"/>
          <w:lang w:eastAsia="zh-TW"/>
        </w:rPr>
        <w:lastRenderedPageBreak/>
        <w:t>Technology origin (in-house, licensed, co-developed).</w:t>
      </w:r>
    </w:p>
    <w:p w14:paraId="01C45227" w14:textId="3FC1C33A" w:rsidR="00226A48" w:rsidRPr="00226A48" w:rsidRDefault="00226A48" w:rsidP="00226A48">
      <w:pPr>
        <w:pStyle w:val="ae"/>
        <w:numPr>
          <w:ilvl w:val="0"/>
          <w:numId w:val="31"/>
        </w:numPr>
        <w:rPr>
          <w:rFonts w:eastAsia="新細明體"/>
          <w:color w:val="000000" w:themeColor="text1"/>
          <w:lang w:eastAsia="zh-TW"/>
        </w:rPr>
      </w:pPr>
      <w:r w:rsidRPr="00226A48">
        <w:rPr>
          <w:rFonts w:eastAsia="新細明體"/>
          <w:color w:val="000000" w:themeColor="text1"/>
          <w:lang w:eastAsia="zh-TW"/>
        </w:rPr>
        <w:t>IP status (applied, granted, shared, licensed).</w:t>
      </w:r>
    </w:p>
    <w:p w14:paraId="3537D557" w14:textId="7EE36376" w:rsidR="00226A48" w:rsidRPr="00226A48" w:rsidRDefault="00483EF6" w:rsidP="00226A48">
      <w:pPr>
        <w:pStyle w:val="ae"/>
        <w:numPr>
          <w:ilvl w:val="0"/>
          <w:numId w:val="31"/>
        </w:numPr>
        <w:rPr>
          <w:rFonts w:eastAsia="新細明體"/>
          <w:color w:val="000000" w:themeColor="text1"/>
          <w:lang w:eastAsia="zh-TW"/>
        </w:rPr>
      </w:pPr>
      <w:r>
        <w:t>Implementation</w:t>
      </w:r>
      <w:r w:rsidR="00226A48" w:rsidRPr="00226A48">
        <w:rPr>
          <w:rFonts w:eastAsia="新細明體"/>
          <w:color w:val="000000" w:themeColor="text1"/>
          <w:lang w:eastAsia="zh-TW"/>
        </w:rPr>
        <w:t xml:space="preserve"> timeline (development, testing, launch).</w:t>
      </w:r>
    </w:p>
    <w:p w14:paraId="3A0027BF" w14:textId="77777777" w:rsidR="00226A48" w:rsidRPr="00226A48" w:rsidRDefault="00226A48" w:rsidP="00226A48">
      <w:pPr>
        <w:rPr>
          <w:rFonts w:eastAsia="新細明體"/>
          <w:color w:val="000000" w:themeColor="text1"/>
          <w:lang w:eastAsia="zh-TW"/>
        </w:rPr>
      </w:pPr>
    </w:p>
    <w:p w14:paraId="3301AC9E"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(E) Team Composition</w:t>
      </w:r>
    </w:p>
    <w:p w14:paraId="0071A42C" w14:textId="3F4B5A09" w:rsidR="00226A48" w:rsidRPr="00226A48" w:rsidRDefault="00226A48" w:rsidP="00226A48">
      <w:pPr>
        <w:pStyle w:val="ae"/>
        <w:numPr>
          <w:ilvl w:val="0"/>
          <w:numId w:val="33"/>
        </w:numPr>
        <w:rPr>
          <w:rFonts w:eastAsia="新細明體"/>
          <w:color w:val="000000" w:themeColor="text1"/>
          <w:lang w:eastAsia="zh-TW"/>
        </w:rPr>
      </w:pPr>
      <w:r w:rsidRPr="00226A48">
        <w:rPr>
          <w:rFonts w:eastAsia="新細明體"/>
          <w:color w:val="000000" w:themeColor="text1"/>
          <w:lang w:eastAsia="zh-TW"/>
        </w:rPr>
        <w:t>Core members' experience, expertise, and roles.</w:t>
      </w:r>
    </w:p>
    <w:p w14:paraId="22B3D772" w14:textId="77777777" w:rsidR="00226A48" w:rsidRPr="00226A48" w:rsidRDefault="00226A48" w:rsidP="00226A48">
      <w:pPr>
        <w:pStyle w:val="ae"/>
        <w:numPr>
          <w:ilvl w:val="0"/>
          <w:numId w:val="33"/>
        </w:numPr>
        <w:rPr>
          <w:rFonts w:eastAsia="新細明體"/>
          <w:color w:val="000000" w:themeColor="text1"/>
          <w:lang w:eastAsia="zh-TW"/>
        </w:rPr>
      </w:pPr>
      <w:r w:rsidRPr="00226A48">
        <w:rPr>
          <w:rFonts w:eastAsia="新細明體"/>
          <w:color w:val="000000" w:themeColor="text1"/>
          <w:lang w:eastAsia="zh-TW"/>
        </w:rPr>
        <w:t>Advisors, strategic partners, or investors (if any).</w:t>
      </w:r>
    </w:p>
    <w:p w14:paraId="50A4E7B9" w14:textId="48C9D3CD"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w:t>
      </w:r>
    </w:p>
    <w:p w14:paraId="615A7F51"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(F) Taiwan Landing Plan</w:t>
      </w:r>
    </w:p>
    <w:p w14:paraId="2E916870" w14:textId="5F54C065"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International teams: Provide concrete plan for establishing operations in Taiwan.</w:t>
      </w:r>
    </w:p>
    <w:p w14:paraId="1B606549" w14:textId="77777777" w:rsidR="00226A48" w:rsidRPr="00226A48" w:rsidRDefault="00226A48" w:rsidP="00226A48">
      <w:pPr>
        <w:rPr>
          <w:rFonts w:eastAsia="新細明體"/>
          <w:color w:val="000000" w:themeColor="text1"/>
          <w:lang w:eastAsia="zh-TW"/>
        </w:rPr>
      </w:pPr>
    </w:p>
    <w:p w14:paraId="5C1A57C4"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(G) Financial Plan and Projected Impact</w:t>
      </w:r>
    </w:p>
    <w:p w14:paraId="6CAFDA0A" w14:textId="5165CFC9" w:rsidR="00226A48" w:rsidRPr="00226A48" w:rsidRDefault="00226A48" w:rsidP="00226A48">
      <w:pPr>
        <w:pStyle w:val="ae"/>
        <w:numPr>
          <w:ilvl w:val="0"/>
          <w:numId w:val="34"/>
        </w:numPr>
        <w:rPr>
          <w:rFonts w:eastAsia="新細明體"/>
          <w:color w:val="000000" w:themeColor="text1"/>
          <w:lang w:eastAsia="zh-TW"/>
        </w:rPr>
      </w:pPr>
      <w:r w:rsidRPr="00226A48">
        <w:rPr>
          <w:rFonts w:eastAsia="新細明體"/>
          <w:color w:val="000000" w:themeColor="text1"/>
          <w:lang w:eastAsia="zh-TW"/>
        </w:rPr>
        <w:t>Three-year P&amp;L forecast (revenue, costs, net profit).</w:t>
      </w:r>
    </w:p>
    <w:p w14:paraId="66AB2C59" w14:textId="49E13DD7" w:rsidR="00226A48" w:rsidRPr="00226A48" w:rsidRDefault="00226A48" w:rsidP="00226A48">
      <w:pPr>
        <w:pStyle w:val="ae"/>
        <w:numPr>
          <w:ilvl w:val="0"/>
          <w:numId w:val="34"/>
        </w:numPr>
        <w:rPr>
          <w:rFonts w:eastAsia="新細明體"/>
          <w:color w:val="000000" w:themeColor="text1"/>
          <w:lang w:eastAsia="zh-TW"/>
        </w:rPr>
      </w:pPr>
      <w:r w:rsidRPr="00226A48">
        <w:rPr>
          <w:rFonts w:eastAsia="新細明體"/>
          <w:color w:val="000000" w:themeColor="text1"/>
          <w:lang w:eastAsia="zh-TW"/>
        </w:rPr>
        <w:t>Funding sources and allocation (e.g., capital needs, cost structure).</w:t>
      </w:r>
    </w:p>
    <w:p w14:paraId="2ACE5529" w14:textId="7C28AE5D" w:rsidR="00226A48" w:rsidRPr="00226A48" w:rsidRDefault="00226A48" w:rsidP="00226A48">
      <w:pPr>
        <w:pStyle w:val="ae"/>
        <w:numPr>
          <w:ilvl w:val="0"/>
          <w:numId w:val="34"/>
        </w:numPr>
        <w:rPr>
          <w:rFonts w:eastAsia="新細明體"/>
          <w:color w:val="000000" w:themeColor="text1"/>
          <w:lang w:eastAsia="zh-TW"/>
        </w:rPr>
      </w:pPr>
      <w:r w:rsidRPr="00226A48">
        <w:rPr>
          <w:rFonts w:eastAsia="新細明體"/>
          <w:color w:val="000000" w:themeColor="text1"/>
          <w:lang w:eastAsia="zh-TW"/>
        </w:rPr>
        <w:t>Expected innovation value, industry benefits, or externalities.</w:t>
      </w:r>
    </w:p>
    <w:p w14:paraId="48A5D46B" w14:textId="77777777" w:rsidR="00226A48" w:rsidRPr="00226A48" w:rsidRDefault="00226A48" w:rsidP="00226A48">
      <w:pPr>
        <w:rPr>
          <w:rFonts w:eastAsia="新細明體"/>
          <w:color w:val="000000" w:themeColor="text1"/>
          <w:lang w:eastAsia="zh-TW"/>
        </w:rPr>
      </w:pPr>
    </w:p>
    <w:p w14:paraId="1CD2F480"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(H) Application Rationale and Hub Needs</w:t>
      </w:r>
    </w:p>
    <w:p w14:paraId="1E262BA8" w14:textId="4E7D4FA6" w:rsidR="00226A48" w:rsidRPr="00226A48" w:rsidRDefault="00226A48" w:rsidP="00226A48">
      <w:pPr>
        <w:pStyle w:val="ae"/>
        <w:numPr>
          <w:ilvl w:val="0"/>
          <w:numId w:val="35"/>
        </w:numPr>
        <w:rPr>
          <w:rFonts w:eastAsia="新細明體"/>
          <w:color w:val="000000" w:themeColor="text1"/>
          <w:lang w:eastAsia="zh-TW"/>
        </w:rPr>
      </w:pPr>
      <w:r w:rsidRPr="00226A48">
        <w:rPr>
          <w:rFonts w:eastAsia="新細明體"/>
          <w:color w:val="000000" w:themeColor="text1"/>
          <w:lang w:eastAsia="zh-TW"/>
        </w:rPr>
        <w:t>Desired Hub resources (mentoring, matchmaking, demos, global links).</w:t>
      </w:r>
    </w:p>
    <w:p w14:paraId="08B0AF2F" w14:textId="267AB1B8" w:rsidR="00226A48" w:rsidRPr="00226A48" w:rsidRDefault="00226A48" w:rsidP="00226A48">
      <w:pPr>
        <w:pStyle w:val="ae"/>
        <w:numPr>
          <w:ilvl w:val="0"/>
          <w:numId w:val="35"/>
        </w:numPr>
        <w:rPr>
          <w:rFonts w:eastAsia="新細明體"/>
          <w:color w:val="000000" w:themeColor="text1"/>
          <w:lang w:eastAsia="zh-TW"/>
        </w:rPr>
      </w:pPr>
      <w:r w:rsidRPr="00226A48">
        <w:rPr>
          <w:rFonts w:eastAsia="新細明體"/>
          <w:color w:val="000000" w:themeColor="text1"/>
          <w:lang w:eastAsia="zh-TW"/>
        </w:rPr>
        <w:t>Team contributions to Hub ecosystem (resource sharing, events, exchanges).</w:t>
      </w:r>
    </w:p>
    <w:p w14:paraId="7D3D4A47" w14:textId="77777777" w:rsidR="00226A48" w:rsidRPr="00226A48" w:rsidRDefault="00226A48" w:rsidP="00226A48">
      <w:pPr>
        <w:rPr>
          <w:rFonts w:eastAsia="新細明體"/>
          <w:color w:val="000000" w:themeColor="text1"/>
          <w:lang w:eastAsia="zh-TW"/>
        </w:rPr>
      </w:pPr>
    </w:p>
    <w:p w14:paraId="33578C71" w14:textId="77777777"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(I) Conclusion</w:t>
      </w:r>
    </w:p>
    <w:p w14:paraId="4365778E" w14:textId="55AD7220"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Summarize team vision, long-term direction, and shared value creation with the Hub.</w:t>
      </w:r>
    </w:p>
    <w:p w14:paraId="737D0A70" w14:textId="77777777" w:rsidR="00226A48" w:rsidRDefault="00226A48" w:rsidP="00226A48">
      <w:pPr>
        <w:rPr>
          <w:rFonts w:eastAsia="新細明體"/>
          <w:color w:val="000000" w:themeColor="text1"/>
          <w:lang w:eastAsia="zh-TW"/>
        </w:rPr>
      </w:pPr>
    </w:p>
    <w:p w14:paraId="26A86CE9" w14:textId="7A002AF6" w:rsidR="00226A48" w:rsidRPr="00226A48" w:rsidRDefault="00226A48" w:rsidP="00226A48">
      <w:pPr>
        <w:rPr>
          <w:rFonts w:eastAsia="新細明體"/>
          <w:color w:val="000000" w:themeColor="text1"/>
          <w:lang w:eastAsia="zh-TW"/>
        </w:rPr>
      </w:pPr>
      <w:r w:rsidRPr="00226A48">
        <w:rPr>
          <w:rFonts w:eastAsia="新細明體"/>
          <w:color w:val="000000" w:themeColor="text1"/>
          <w:lang w:eastAsia="zh-TW"/>
        </w:rPr>
        <w:t>Note: Support and mentoring subject to available resources and space.</w:t>
      </w:r>
    </w:p>
    <w:p w14:paraId="6BA70378" w14:textId="301BA96B" w:rsidR="007319B7" w:rsidRDefault="007319B7">
      <w:pPr>
        <w:rPr>
          <w:rFonts w:eastAsia="新細明體"/>
          <w:color w:val="000000" w:themeColor="text1"/>
          <w:lang w:eastAsia="zh-TW"/>
        </w:rPr>
      </w:pPr>
      <w:r>
        <w:rPr>
          <w:rFonts w:eastAsia="新細明體"/>
          <w:color w:val="000000" w:themeColor="text1"/>
          <w:lang w:eastAsia="zh-TW"/>
        </w:rPr>
        <w:br w:type="page"/>
      </w:r>
    </w:p>
    <w:p w14:paraId="617E1CFB" w14:textId="241B2862" w:rsidR="00CC17D4" w:rsidRPr="000512B4" w:rsidRDefault="002208D9">
      <w:pPr>
        <w:pStyle w:val="21"/>
        <w:rPr>
          <w:color w:val="000000" w:themeColor="text1"/>
        </w:rPr>
      </w:pPr>
      <w:r w:rsidRPr="000512B4">
        <w:rPr>
          <w:color w:val="000000" w:themeColor="text1"/>
        </w:rPr>
        <w:lastRenderedPageBreak/>
        <w:t>Appendix 3: Personal Data Collection Notice and Consent</w:t>
      </w:r>
    </w:p>
    <w:p w14:paraId="3E2AA712" w14:textId="359AAC8A" w:rsidR="00CC17D4" w:rsidRPr="009B4D61" w:rsidRDefault="002208D9">
      <w:pPr>
        <w:rPr>
          <w:rFonts w:eastAsia="新細明體"/>
          <w:color w:val="000000" w:themeColor="text1"/>
          <w:lang w:eastAsia="zh-TW"/>
        </w:rPr>
      </w:pPr>
      <w:r w:rsidRPr="000512B4">
        <w:rPr>
          <w:color w:val="000000" w:themeColor="text1"/>
        </w:rPr>
        <w:t xml:space="preserve">Applicants must use the official consent form downloaded from the Hub website. </w:t>
      </w:r>
    </w:p>
    <w:p w14:paraId="05663DF4" w14:textId="77777777" w:rsidR="00226A48" w:rsidRPr="00226A48" w:rsidRDefault="00226A48" w:rsidP="00226A48">
      <w:pPr>
        <w:rPr>
          <w:rFonts w:eastAsia="新細明體"/>
          <w:color w:val="000000" w:themeColor="text1"/>
          <w:lang w:eastAsia="zh-TW"/>
        </w:rPr>
      </w:pPr>
      <w:r w:rsidRPr="00226A48">
        <w:rPr>
          <w:rFonts w:eastAsia="新細明體"/>
          <w:b/>
          <w:bCs/>
          <w:color w:val="000000" w:themeColor="text1"/>
          <w:lang w:eastAsia="zh-TW"/>
        </w:rPr>
        <w:t>InnoPad Taipei: Personal Data Collection Notice and Consent Form</w:t>
      </w:r>
    </w:p>
    <w:p w14:paraId="3E637DD3" w14:textId="17C2CBC1" w:rsidR="00226A48" w:rsidRPr="00226A48" w:rsidRDefault="00226A48" w:rsidP="00226A48">
      <w:pPr>
        <w:rPr>
          <w:rFonts w:eastAsia="新細明體"/>
          <w:color w:val="000000" w:themeColor="text1"/>
          <w:lang w:eastAsia="zh-TW"/>
        </w:rPr>
      </w:pPr>
      <w:r w:rsidRPr="00226A48">
        <w:rPr>
          <w:rFonts w:eastAsia="新細明體"/>
          <w:b/>
          <w:bCs/>
          <w:color w:val="000000" w:themeColor="text1"/>
          <w:lang w:eastAsia="zh-TW"/>
        </w:rPr>
        <w:t>Collection Notice</w:t>
      </w:r>
      <w:r w:rsidR="0004211F">
        <w:rPr>
          <w:rFonts w:eastAsia="新細明體"/>
          <w:b/>
          <w:bCs/>
          <w:color w:val="000000" w:themeColor="text1"/>
          <w:lang w:eastAsia="zh-TW"/>
        </w:rPr>
        <w:t>:</w:t>
      </w:r>
      <w:r w:rsidRPr="00226A48">
        <w:rPr>
          <w:rFonts w:eastAsia="新細明體"/>
          <w:color w:val="000000" w:themeColor="text1"/>
          <w:lang w:eastAsia="zh-TW"/>
        </w:rPr>
        <w:t xml:space="preserve"> To comply with the </w:t>
      </w:r>
      <w:r w:rsidRPr="00226A48">
        <w:rPr>
          <w:rFonts w:eastAsia="新細明體"/>
          <w:i/>
          <w:iCs/>
          <w:color w:val="000000" w:themeColor="text1"/>
          <w:lang w:eastAsia="zh-TW"/>
        </w:rPr>
        <w:t>Personal Data Protection Act</w:t>
      </w:r>
      <w:r w:rsidRPr="00226A48">
        <w:rPr>
          <w:rFonts w:eastAsia="新細明體"/>
          <w:color w:val="000000" w:themeColor="text1"/>
          <w:lang w:eastAsia="zh-TW"/>
        </w:rPr>
        <w:t xml:space="preserve"> (PDPA), the InnoPad Taipei Operating Team (the "Operating Team") discloses the following before collecting your data:</w:t>
      </w:r>
    </w:p>
    <w:p w14:paraId="09DEECBC"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Scope and Purpose:</w:t>
      </w:r>
      <w:r w:rsidRPr="00226A48">
        <w:rPr>
          <w:rFonts w:eastAsia="新細明體"/>
          <w:color w:val="000000" w:themeColor="text1"/>
          <w:lang w:eastAsia="zh-TW"/>
        </w:rPr>
        <w:t xml:space="preserve"> We collect identifiers—including name and contact details (phone, email, address)—for industry guidance, education, industry-academia collaboration, and policy promotion.</w:t>
      </w:r>
    </w:p>
    <w:p w14:paraId="482C9D0C"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Compliance:</w:t>
      </w:r>
      <w:r w:rsidRPr="00226A48">
        <w:rPr>
          <w:rFonts w:eastAsia="新細明體"/>
          <w:color w:val="000000" w:themeColor="text1"/>
          <w:lang w:eastAsia="zh-TW"/>
        </w:rPr>
        <w:t xml:space="preserve"> Data processing follows the PDPA and the Operating Team’s Privacy Policy.</w:t>
      </w:r>
    </w:p>
    <w:p w14:paraId="7291AA66"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Duration:</w:t>
      </w:r>
      <w:r w:rsidRPr="00226A48">
        <w:rPr>
          <w:rFonts w:eastAsia="新細明體"/>
          <w:color w:val="000000" w:themeColor="text1"/>
          <w:lang w:eastAsia="zh-TW"/>
        </w:rPr>
        <w:t xml:space="preserve"> Use is limited to the period necessary to fulfill the stated purposes.</w:t>
      </w:r>
    </w:p>
    <w:p w14:paraId="5943117A"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Geography:</w:t>
      </w:r>
      <w:r w:rsidRPr="00226A48">
        <w:rPr>
          <w:rFonts w:eastAsia="新細明體"/>
          <w:color w:val="000000" w:themeColor="text1"/>
          <w:lang w:eastAsia="zh-TW"/>
        </w:rPr>
        <w:t xml:space="preserve"> Use is restricted to the territory of Taiwan, unless international operations are involved.</w:t>
      </w:r>
    </w:p>
    <w:p w14:paraId="7D024A10" w14:textId="74D25139"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Extended Use:</w:t>
      </w:r>
      <w:r w:rsidRPr="00226A48">
        <w:rPr>
          <w:rFonts w:eastAsia="新細明體"/>
          <w:color w:val="000000" w:themeColor="text1"/>
          <w:lang w:eastAsia="zh-TW"/>
        </w:rPr>
        <w:t xml:space="preserve"> Data may be used for broader industry promotion or to provide administrative assistance requested by the </w:t>
      </w:r>
      <w:r w:rsidRPr="00226A48">
        <w:rPr>
          <w:rFonts w:eastAsia="新細明體"/>
          <w:b/>
          <w:bCs/>
          <w:color w:val="000000" w:themeColor="text1"/>
          <w:lang w:eastAsia="zh-TW"/>
        </w:rPr>
        <w:t>Taipei City Department of Economic Development (D</w:t>
      </w:r>
      <w:r w:rsidR="009B4D61">
        <w:rPr>
          <w:rFonts w:eastAsia="新細明體" w:hint="eastAsia"/>
          <w:b/>
          <w:bCs/>
          <w:color w:val="000000" w:themeColor="text1"/>
          <w:lang w:eastAsia="zh-TW"/>
        </w:rPr>
        <w:t>O</w:t>
      </w:r>
      <w:r w:rsidRPr="00226A48">
        <w:rPr>
          <w:rFonts w:eastAsia="新細明體"/>
          <w:b/>
          <w:bCs/>
          <w:color w:val="000000" w:themeColor="text1"/>
          <w:lang w:eastAsia="zh-TW"/>
        </w:rPr>
        <w:t>ED)</w:t>
      </w:r>
      <w:r w:rsidRPr="00226A48">
        <w:rPr>
          <w:rFonts w:eastAsia="新細明體"/>
          <w:color w:val="000000" w:themeColor="text1"/>
          <w:lang w:eastAsia="zh-TW"/>
        </w:rPr>
        <w:t>.</w:t>
      </w:r>
    </w:p>
    <w:p w14:paraId="5BE0325C"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Your Rights:</w:t>
      </w:r>
      <w:r w:rsidRPr="00226A48">
        <w:rPr>
          <w:rFonts w:eastAsia="新細明體"/>
          <w:color w:val="000000" w:themeColor="text1"/>
          <w:lang w:eastAsia="zh-TW"/>
        </w:rPr>
        <w:t xml:space="preserve"> Under PDPA Article 3, you may request to: (1) inquire/review, (2) obtain duplicates, (3) supplement/correct, (4) cease processing, or (5) delete your data.</w:t>
      </w:r>
    </w:p>
    <w:p w14:paraId="42F8D8A6" w14:textId="77777777" w:rsidR="00226A48" w:rsidRPr="00226A48" w:rsidRDefault="00226A48" w:rsidP="00226A48">
      <w:pPr>
        <w:numPr>
          <w:ilvl w:val="1"/>
          <w:numId w:val="36"/>
        </w:numPr>
        <w:rPr>
          <w:rFonts w:eastAsia="新細明體"/>
          <w:color w:val="000000" w:themeColor="text1"/>
          <w:lang w:eastAsia="zh-TW"/>
        </w:rPr>
      </w:pPr>
      <w:r w:rsidRPr="00226A48">
        <w:rPr>
          <w:rFonts w:eastAsia="新細明體"/>
          <w:b/>
          <w:bCs/>
          <w:color w:val="000000" w:themeColor="text1"/>
          <w:lang w:eastAsia="zh-TW"/>
        </w:rPr>
        <w:t>Note:</w:t>
      </w:r>
      <w:r w:rsidRPr="00226A48">
        <w:rPr>
          <w:rFonts w:eastAsia="新細明體"/>
          <w:color w:val="000000" w:themeColor="text1"/>
          <w:lang w:eastAsia="zh-TW"/>
        </w:rPr>
        <w:t xml:space="preserve"> The Operating Team is </w:t>
      </w:r>
      <w:r w:rsidRPr="00226A48">
        <w:rPr>
          <w:rFonts w:eastAsia="新細明體"/>
          <w:b/>
          <w:bCs/>
          <w:color w:val="000000" w:themeColor="text1"/>
          <w:lang w:eastAsia="zh-TW"/>
        </w:rPr>
        <w:t>not liable</w:t>
      </w:r>
      <w:r w:rsidRPr="00226A48">
        <w:rPr>
          <w:rFonts w:eastAsia="新細明體"/>
          <w:color w:val="000000" w:themeColor="text1"/>
          <w:lang w:eastAsia="zh-TW"/>
        </w:rPr>
        <w:t xml:space="preserve"> for any loss of benefits resulting from the exercise of these rights. Administrative fees may apply per PDPA Article 14.</w:t>
      </w:r>
    </w:p>
    <w:p w14:paraId="5F9C415A"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Accuracy:</w:t>
      </w:r>
      <w:r w:rsidRPr="00226A48">
        <w:rPr>
          <w:rFonts w:eastAsia="新細明體"/>
          <w:color w:val="000000" w:themeColor="text1"/>
          <w:lang w:eastAsia="zh-TW"/>
        </w:rPr>
        <w:t xml:space="preserve"> Providing inaccurate data prevents the delivery of related services.</w:t>
      </w:r>
    </w:p>
    <w:p w14:paraId="08840CDD"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Supervision:</w:t>
      </w:r>
      <w:r w:rsidRPr="00226A48">
        <w:rPr>
          <w:rFonts w:eastAsia="新細明體"/>
          <w:color w:val="000000" w:themeColor="text1"/>
          <w:lang w:eastAsia="zh-TW"/>
        </w:rPr>
        <w:t xml:space="preserve"> The Operating Team remains responsible for supervising any third parties entrusted with data processing.</w:t>
      </w:r>
    </w:p>
    <w:p w14:paraId="4CEE34BB" w14:textId="77777777" w:rsidR="00226A48" w:rsidRPr="00226A48" w:rsidRDefault="00226A48" w:rsidP="00226A48">
      <w:pPr>
        <w:numPr>
          <w:ilvl w:val="0"/>
          <w:numId w:val="36"/>
        </w:numPr>
        <w:rPr>
          <w:rFonts w:eastAsia="新細明體"/>
          <w:color w:val="000000" w:themeColor="text1"/>
          <w:lang w:eastAsia="zh-TW"/>
        </w:rPr>
      </w:pPr>
      <w:r w:rsidRPr="00226A48">
        <w:rPr>
          <w:rFonts w:eastAsia="新細明體"/>
          <w:b/>
          <w:bCs/>
          <w:color w:val="000000" w:themeColor="text1"/>
          <w:lang w:eastAsia="zh-TW"/>
        </w:rPr>
        <w:t>Verification:</w:t>
      </w:r>
      <w:r w:rsidRPr="00226A48">
        <w:rPr>
          <w:rFonts w:eastAsia="新細明體"/>
          <w:color w:val="000000" w:themeColor="text1"/>
          <w:lang w:eastAsia="zh-TW"/>
        </w:rPr>
        <w:t xml:space="preserve"> You acknowledge this form meets PDPA standards and authorize the Operating Team to retain it for future verification.</w:t>
      </w:r>
    </w:p>
    <w:p w14:paraId="6969B77B" w14:textId="77777777" w:rsidR="00226A48" w:rsidRPr="00226A48" w:rsidRDefault="00226A48" w:rsidP="00226A48">
      <w:pPr>
        <w:rPr>
          <w:rFonts w:eastAsia="新細明體"/>
          <w:color w:val="000000" w:themeColor="text1"/>
          <w:lang w:eastAsia="zh-TW"/>
        </w:rPr>
      </w:pPr>
      <w:r w:rsidRPr="00226A48">
        <w:rPr>
          <w:rFonts w:eastAsia="新細明體"/>
          <w:b/>
          <w:bCs/>
          <w:color w:val="000000" w:themeColor="text1"/>
          <w:lang w:eastAsia="zh-TW"/>
        </w:rPr>
        <w:t>Data Provision Consent</w:t>
      </w:r>
    </w:p>
    <w:p w14:paraId="17B0E9D0" w14:textId="77777777" w:rsidR="00226A48" w:rsidRPr="00226A48" w:rsidRDefault="00226A48" w:rsidP="00226A48">
      <w:pPr>
        <w:numPr>
          <w:ilvl w:val="0"/>
          <w:numId w:val="37"/>
        </w:numPr>
        <w:rPr>
          <w:rFonts w:eastAsia="新細明體"/>
          <w:color w:val="000000" w:themeColor="text1"/>
          <w:lang w:eastAsia="zh-TW"/>
        </w:rPr>
      </w:pPr>
      <w:r w:rsidRPr="00226A48">
        <w:rPr>
          <w:rFonts w:eastAsia="新細明體"/>
          <w:color w:val="000000" w:themeColor="text1"/>
          <w:lang w:eastAsia="zh-TW"/>
        </w:rPr>
        <w:t>I have fully reviewed and understood the above notice.</w:t>
      </w:r>
    </w:p>
    <w:p w14:paraId="79069B43" w14:textId="270F5693" w:rsidR="00226A48" w:rsidRPr="00226A48" w:rsidRDefault="00226A48" w:rsidP="00226A48">
      <w:pPr>
        <w:numPr>
          <w:ilvl w:val="0"/>
          <w:numId w:val="37"/>
        </w:numPr>
        <w:rPr>
          <w:rFonts w:eastAsia="新細明體"/>
          <w:color w:val="000000" w:themeColor="text1"/>
          <w:lang w:eastAsia="zh-TW"/>
        </w:rPr>
      </w:pPr>
      <w:r w:rsidRPr="00226A48">
        <w:rPr>
          <w:rFonts w:eastAsia="新細明體"/>
          <w:color w:val="000000" w:themeColor="text1"/>
          <w:lang w:eastAsia="zh-TW"/>
        </w:rPr>
        <w:t>I consent to the collection, processing, and use of my personal data, including its provision for D</w:t>
      </w:r>
      <w:r w:rsidR="0004211F">
        <w:rPr>
          <w:rFonts w:eastAsia="新細明體"/>
          <w:color w:val="000000" w:themeColor="text1"/>
          <w:lang w:eastAsia="zh-TW"/>
        </w:rPr>
        <w:t>O</w:t>
      </w:r>
      <w:r w:rsidRPr="00226A48">
        <w:rPr>
          <w:rFonts w:eastAsia="新細明體"/>
          <w:color w:val="000000" w:themeColor="text1"/>
          <w:lang w:eastAsia="zh-TW"/>
        </w:rPr>
        <w:t>ED administrative assistance.</w:t>
      </w:r>
    </w:p>
    <w:p w14:paraId="081CC710" w14:textId="4D409CB2" w:rsidR="00226A48" w:rsidRPr="00226A48" w:rsidRDefault="00226A48">
      <w:pPr>
        <w:rPr>
          <w:rFonts w:eastAsia="新細明體"/>
          <w:color w:val="000000" w:themeColor="text1"/>
          <w:lang w:eastAsia="zh-TW"/>
        </w:rPr>
      </w:pPr>
      <w:r w:rsidRPr="00226A48">
        <w:rPr>
          <w:rFonts w:eastAsia="新細明體"/>
          <w:b/>
          <w:bCs/>
          <w:color w:val="000000" w:themeColor="text1"/>
          <w:lang w:eastAsia="zh-TW"/>
        </w:rPr>
        <w:t>Consented by:</w:t>
      </w:r>
      <w:r w:rsidRPr="00226A48">
        <w:rPr>
          <w:rFonts w:eastAsia="新細明體"/>
          <w:color w:val="000000" w:themeColor="text1"/>
          <w:lang w:eastAsia="zh-TW"/>
        </w:rPr>
        <w:t xml:space="preserve"> ________________________ </w:t>
      </w:r>
      <w:r w:rsidRPr="00226A48">
        <w:rPr>
          <w:rFonts w:eastAsia="新細明體"/>
          <w:b/>
          <w:bCs/>
          <w:color w:val="000000" w:themeColor="text1"/>
          <w:lang w:eastAsia="zh-TW"/>
        </w:rPr>
        <w:t>Date:</w:t>
      </w:r>
      <w:r w:rsidRPr="00226A48">
        <w:rPr>
          <w:rFonts w:eastAsia="新細明體"/>
          <w:color w:val="000000" w:themeColor="text1"/>
          <w:lang w:eastAsia="zh-TW"/>
        </w:rPr>
        <w:t xml:space="preserve"> (Calendar) </w:t>
      </w:r>
      <w:r w:rsidR="008020FE">
        <w:rPr>
          <w:rFonts w:eastAsia="新細明體" w:hint="eastAsia"/>
          <w:color w:val="000000" w:themeColor="text1"/>
          <w:lang w:eastAsia="zh-TW"/>
        </w:rPr>
        <w:t xml:space="preserve"> </w:t>
      </w:r>
      <w:r w:rsidRPr="00226A48">
        <w:rPr>
          <w:rFonts w:eastAsia="新細明體"/>
          <w:color w:val="000000" w:themeColor="text1"/>
          <w:lang w:eastAsia="zh-TW"/>
        </w:rPr>
        <w:t xml:space="preserve">Year: </w:t>
      </w:r>
      <w:r w:rsidR="008020FE">
        <w:rPr>
          <w:rFonts w:eastAsia="新細明體" w:hint="eastAsia"/>
          <w:color w:val="000000" w:themeColor="text1"/>
          <w:lang w:eastAsia="zh-TW"/>
        </w:rPr>
        <w:t xml:space="preserve"> </w:t>
      </w:r>
      <w:r w:rsidRPr="00226A48">
        <w:rPr>
          <w:rFonts w:eastAsia="新細明體"/>
          <w:color w:val="000000" w:themeColor="text1"/>
          <w:lang w:eastAsia="zh-TW"/>
        </w:rPr>
        <w:t>_</w:t>
      </w:r>
      <w:r w:rsidR="008020FE">
        <w:rPr>
          <w:rFonts w:eastAsia="新細明體" w:hint="eastAsia"/>
          <w:color w:val="000000" w:themeColor="text1"/>
          <w:lang w:eastAsia="zh-TW"/>
        </w:rPr>
        <w:t xml:space="preserve"> </w:t>
      </w:r>
      <w:r w:rsidRPr="00226A48">
        <w:rPr>
          <w:rFonts w:eastAsia="新細明體"/>
          <w:color w:val="000000" w:themeColor="text1"/>
          <w:lang w:eastAsia="zh-TW"/>
        </w:rPr>
        <w:t xml:space="preserve">Month: </w:t>
      </w:r>
      <w:r w:rsidR="008020FE">
        <w:rPr>
          <w:rFonts w:eastAsia="新細明體" w:hint="eastAsia"/>
          <w:color w:val="000000" w:themeColor="text1"/>
          <w:lang w:eastAsia="zh-TW"/>
        </w:rPr>
        <w:t xml:space="preserve"> </w:t>
      </w:r>
      <w:r w:rsidRPr="00226A48">
        <w:rPr>
          <w:rFonts w:eastAsia="新細明體"/>
          <w:color w:val="000000" w:themeColor="text1"/>
          <w:lang w:eastAsia="zh-TW"/>
        </w:rPr>
        <w:t>__</w:t>
      </w:r>
      <w:r w:rsidR="008020FE">
        <w:rPr>
          <w:rFonts w:eastAsia="新細明體" w:hint="eastAsia"/>
          <w:color w:val="000000" w:themeColor="text1"/>
          <w:lang w:eastAsia="zh-TW"/>
        </w:rPr>
        <w:t xml:space="preserve"> </w:t>
      </w:r>
      <w:r w:rsidRPr="00226A48">
        <w:rPr>
          <w:rFonts w:eastAsia="新細明體"/>
          <w:color w:val="000000" w:themeColor="text1"/>
          <w:lang w:eastAsia="zh-TW"/>
        </w:rPr>
        <w:t>Day: ____</w:t>
      </w:r>
    </w:p>
    <w:sectPr w:rsidR="00226A48" w:rsidRPr="00226A4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9315" w14:textId="77777777" w:rsidR="008F72F5" w:rsidRDefault="008F72F5" w:rsidP="005712FD">
      <w:pPr>
        <w:spacing w:after="0" w:line="240" w:lineRule="auto"/>
      </w:pPr>
      <w:r>
        <w:separator/>
      </w:r>
    </w:p>
  </w:endnote>
  <w:endnote w:type="continuationSeparator" w:id="0">
    <w:p w14:paraId="1BC8492A" w14:textId="77777777" w:rsidR="008F72F5" w:rsidRDefault="008F72F5" w:rsidP="0057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B3CB" w14:textId="77777777" w:rsidR="008F72F5" w:rsidRDefault="008F72F5" w:rsidP="005712FD">
      <w:pPr>
        <w:spacing w:after="0" w:line="240" w:lineRule="auto"/>
      </w:pPr>
      <w:r>
        <w:separator/>
      </w:r>
    </w:p>
  </w:footnote>
  <w:footnote w:type="continuationSeparator" w:id="0">
    <w:p w14:paraId="1CA4CE4D" w14:textId="77777777" w:rsidR="008F72F5" w:rsidRDefault="008F72F5" w:rsidP="005712FD">
      <w:pPr>
        <w:spacing w:after="0" w:line="240" w:lineRule="auto"/>
      </w:pPr>
      <w:r>
        <w:continuationSeparator/>
      </w:r>
    </w:p>
  </w:footnote>
  <w:footnote w:id="1">
    <w:p w14:paraId="1B0906BB" w14:textId="41F92BF9" w:rsidR="005712FD" w:rsidRPr="005712FD" w:rsidRDefault="005712FD">
      <w:pPr>
        <w:pStyle w:val="affa"/>
        <w:rPr>
          <w:rFonts w:eastAsia="新細明體"/>
          <w:lang w:eastAsia="zh-TW"/>
        </w:rPr>
      </w:pPr>
      <w:r>
        <w:rPr>
          <w:rStyle w:val="affc"/>
        </w:rPr>
        <w:footnoteRef/>
      </w:r>
      <w:r>
        <w:t xml:space="preserve"> </w:t>
      </w:r>
      <w:r w:rsidRPr="005712FD">
        <w:t>This English version is drafted for clarity and operability. In the event of any inconsistency, the official Chinese text issued by the Department of Economic Development, Taipei City Government shall prevail</w:t>
      </w:r>
    </w:p>
  </w:footnote>
  <w:footnote w:id="2">
    <w:p w14:paraId="4AF949DF" w14:textId="15F88285" w:rsidR="00C87126" w:rsidRPr="00C87126" w:rsidRDefault="00C87126">
      <w:pPr>
        <w:pStyle w:val="affa"/>
        <w:rPr>
          <w:rFonts w:eastAsia="新細明體"/>
          <w:lang w:eastAsia="zh-TW"/>
        </w:rPr>
      </w:pPr>
      <w:r>
        <w:rPr>
          <w:rStyle w:val="affc"/>
        </w:rPr>
        <w:footnoteRef/>
      </w:r>
      <w:r>
        <w:t xml:space="preserve"> </w:t>
      </w:r>
      <w:r w:rsidRPr="00C87126">
        <w:t>City Startup Partners. This category includes overseas organizations that have executed a Memorandum of Understanding (MoU) with the Taipei Entrepreneurs Hub to share resources and facilitate overseas expansion. Current partners include: UTokyo IPC and FGN (Japan); TechShake (Philippines); SBA, KAIA, and GIA (South Korea); ThinkZone (Vietnam); depa (Thailand); and SIDEC (Selangor, Malaysia).</w:t>
      </w:r>
    </w:p>
  </w:footnote>
  <w:footnote w:id="3">
    <w:p w14:paraId="48E0F3F2" w14:textId="1EDEAA73" w:rsidR="00C87126" w:rsidRPr="00C87126" w:rsidRDefault="00C87126">
      <w:pPr>
        <w:pStyle w:val="affa"/>
        <w:rPr>
          <w:rFonts w:eastAsia="新細明體"/>
          <w:lang w:eastAsia="zh-TW"/>
        </w:rPr>
      </w:pPr>
      <w:r>
        <w:rPr>
          <w:rStyle w:val="affc"/>
        </w:rPr>
        <w:footnoteRef/>
      </w:r>
      <w:r>
        <w:t xml:space="preserve"> </w:t>
      </w:r>
      <w:r w:rsidRPr="00C87126">
        <w:t xml:space="preserve">Ecosystem Partners. This category includes incubators, accelerators, and corporate entities that have executed a Memorandum of Understanding (MoU) or other formal agreements with the Hub. For specific eligibility, procedures, and obligations, refer to the InnoPad Taipei Ecosystem Partner Residency Guidelines. A list of </w:t>
      </w:r>
      <w:r w:rsidR="007B7090">
        <w:rPr>
          <w:rFonts w:eastAsia="新細明體" w:hint="eastAsia"/>
          <w:lang w:eastAsia="zh-TW"/>
        </w:rPr>
        <w:t xml:space="preserve">ecosystem </w:t>
      </w:r>
      <w:r w:rsidRPr="00C87126">
        <w:t xml:space="preserve">partners </w:t>
      </w:r>
      <w:r w:rsidR="007B7090">
        <w:rPr>
          <w:rFonts w:eastAsia="新細明體" w:hint="eastAsia"/>
          <w:lang w:eastAsia="zh-TW"/>
        </w:rPr>
        <w:t>would be</w:t>
      </w:r>
      <w:r w:rsidRPr="00C87126">
        <w:t xml:space="preserve"> available on the Hub’s official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AA71F4"/>
    <w:multiLevelType w:val="hybridMultilevel"/>
    <w:tmpl w:val="BE34821A"/>
    <w:lvl w:ilvl="0" w:tplc="FFFFFFFF">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7967A2"/>
    <w:multiLevelType w:val="hybridMultilevel"/>
    <w:tmpl w:val="63A4EDC0"/>
    <w:lvl w:ilvl="0" w:tplc="1F5EC86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A70419"/>
    <w:multiLevelType w:val="hybridMultilevel"/>
    <w:tmpl w:val="1C74EBF0"/>
    <w:lvl w:ilvl="0" w:tplc="973071A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2F6A91"/>
    <w:multiLevelType w:val="hybridMultilevel"/>
    <w:tmpl w:val="020CF704"/>
    <w:lvl w:ilvl="0" w:tplc="F85C8132">
      <w:start w:val="1"/>
      <w:numFmt w:val="upp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5045FD"/>
    <w:multiLevelType w:val="hybridMultilevel"/>
    <w:tmpl w:val="559A5E30"/>
    <w:lvl w:ilvl="0" w:tplc="04090011">
      <w:start w:val="1"/>
      <w:numFmt w:val="upperLetter"/>
      <w:lvlText w:val="%1."/>
      <w:lvlJc w:val="left"/>
      <w:pPr>
        <w:ind w:left="84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31B7B1B"/>
    <w:multiLevelType w:val="hybridMultilevel"/>
    <w:tmpl w:val="8984125A"/>
    <w:lvl w:ilvl="0" w:tplc="FFFFFFFF">
      <w:start w:val="1"/>
      <w:numFmt w:val="upperLetter"/>
      <w:lvlText w:val="%1."/>
      <w:lvlJc w:val="left"/>
      <w:pPr>
        <w:ind w:left="360" w:hanging="360"/>
      </w:pPr>
      <w:rPr>
        <w:rFonts w:eastAsia="新細明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6210298"/>
    <w:multiLevelType w:val="hybridMultilevel"/>
    <w:tmpl w:val="72769292"/>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CD0C95"/>
    <w:multiLevelType w:val="hybridMultilevel"/>
    <w:tmpl w:val="3142210E"/>
    <w:lvl w:ilvl="0" w:tplc="7220A5FE">
      <w:start w:val="1"/>
      <w:numFmt w:val="upp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D26BAA"/>
    <w:multiLevelType w:val="hybridMultilevel"/>
    <w:tmpl w:val="5F8E59BC"/>
    <w:lvl w:ilvl="0" w:tplc="FFFFFFFF">
      <w:start w:val="1"/>
      <w:numFmt w:val="decimal"/>
      <w:lvlText w:val="%1."/>
      <w:lvlJc w:val="left"/>
      <w:pPr>
        <w:ind w:left="360" w:hanging="360"/>
      </w:pPr>
      <w:rPr>
        <w:rFonts w:eastAsia="新細明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F1E4097"/>
    <w:multiLevelType w:val="hybridMultilevel"/>
    <w:tmpl w:val="58262448"/>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A65235"/>
    <w:multiLevelType w:val="hybridMultilevel"/>
    <w:tmpl w:val="8984125A"/>
    <w:lvl w:ilvl="0" w:tplc="D2D01C50">
      <w:start w:val="1"/>
      <w:numFmt w:val="upp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3121AA"/>
    <w:multiLevelType w:val="hybridMultilevel"/>
    <w:tmpl w:val="7166DA50"/>
    <w:lvl w:ilvl="0" w:tplc="FFFFFFFF">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270BDC"/>
    <w:multiLevelType w:val="hybridMultilevel"/>
    <w:tmpl w:val="73669A9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39188F"/>
    <w:multiLevelType w:val="hybridMultilevel"/>
    <w:tmpl w:val="A66CE7C6"/>
    <w:lvl w:ilvl="0" w:tplc="1D441C30">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DA35B0"/>
    <w:multiLevelType w:val="hybridMultilevel"/>
    <w:tmpl w:val="932217CA"/>
    <w:lvl w:ilvl="0" w:tplc="FFFFFFFF">
      <w:start w:val="1"/>
      <w:numFmt w:val="lowerLetter"/>
      <w:lvlText w:val="%1."/>
      <w:lvlJc w:val="left"/>
      <w:pPr>
        <w:ind w:left="840" w:hanging="36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48721275"/>
    <w:multiLevelType w:val="hybridMultilevel"/>
    <w:tmpl w:val="767A95A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3D207D"/>
    <w:multiLevelType w:val="hybridMultilevel"/>
    <w:tmpl w:val="D07CADFA"/>
    <w:lvl w:ilvl="0" w:tplc="B41E61E8">
      <w:start w:val="1"/>
      <w:numFmt w:val="decimal"/>
      <w:lvlText w:val="%1."/>
      <w:lvlJc w:val="left"/>
      <w:pPr>
        <w:ind w:left="360" w:hanging="360"/>
      </w:pPr>
      <w:rPr>
        <w:rFonts w:eastAsia="新細明體" w:hint="default"/>
      </w:rPr>
    </w:lvl>
    <w:lvl w:ilvl="1" w:tplc="F3A8F824">
      <w:start w:val="1"/>
      <w:numFmt w:val="lowerLetter"/>
      <w:lvlText w:val="%2"/>
      <w:lvlJc w:val="left"/>
      <w:pPr>
        <w:ind w:left="960" w:hanging="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56856"/>
    <w:multiLevelType w:val="hybridMultilevel"/>
    <w:tmpl w:val="D8282CB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8E71CE"/>
    <w:multiLevelType w:val="hybridMultilevel"/>
    <w:tmpl w:val="AAE0F002"/>
    <w:lvl w:ilvl="0" w:tplc="CB006888">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F40A25"/>
    <w:multiLevelType w:val="hybridMultilevel"/>
    <w:tmpl w:val="50E4CB0E"/>
    <w:lvl w:ilvl="0" w:tplc="30B63C6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C0785C"/>
    <w:multiLevelType w:val="hybridMultilevel"/>
    <w:tmpl w:val="84B0BA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715D1D"/>
    <w:multiLevelType w:val="multilevel"/>
    <w:tmpl w:val="FA56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15F3C"/>
    <w:multiLevelType w:val="hybridMultilevel"/>
    <w:tmpl w:val="995A9728"/>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0B5760"/>
    <w:multiLevelType w:val="hybridMultilevel"/>
    <w:tmpl w:val="810ADCF6"/>
    <w:lvl w:ilvl="0" w:tplc="FFFFFFFF">
      <w:start w:val="1"/>
      <w:numFmt w:val="decimal"/>
      <w:lvlText w:val="%1."/>
      <w:lvlJc w:val="left"/>
      <w:pPr>
        <w:ind w:left="360" w:hanging="360"/>
      </w:pPr>
      <w:rPr>
        <w:rFonts w:eastAsia="新細明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69E7D2B"/>
    <w:multiLevelType w:val="hybridMultilevel"/>
    <w:tmpl w:val="73669A9C"/>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C792060"/>
    <w:multiLevelType w:val="hybridMultilevel"/>
    <w:tmpl w:val="5A6A219C"/>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718667B7"/>
    <w:multiLevelType w:val="multilevel"/>
    <w:tmpl w:val="53CE5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57559A"/>
    <w:multiLevelType w:val="hybridMultilevel"/>
    <w:tmpl w:val="932217CA"/>
    <w:lvl w:ilvl="0" w:tplc="407EA50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8"/>
  </w:num>
  <w:num w:numId="12">
    <w:abstractNumId w:val="27"/>
  </w:num>
  <w:num w:numId="13">
    <w:abstractNumId w:val="12"/>
  </w:num>
  <w:num w:numId="14">
    <w:abstractNumId w:val="22"/>
  </w:num>
  <w:num w:numId="15">
    <w:abstractNumId w:val="16"/>
  </w:num>
  <w:num w:numId="16">
    <w:abstractNumId w:val="11"/>
  </w:num>
  <w:num w:numId="17">
    <w:abstractNumId w:val="19"/>
  </w:num>
  <w:num w:numId="18">
    <w:abstractNumId w:val="25"/>
  </w:num>
  <w:num w:numId="19">
    <w:abstractNumId w:val="32"/>
  </w:num>
  <w:num w:numId="20">
    <w:abstractNumId w:val="20"/>
  </w:num>
  <w:num w:numId="21">
    <w:abstractNumId w:val="17"/>
  </w:num>
  <w:num w:numId="22">
    <w:abstractNumId w:val="21"/>
  </w:num>
  <w:num w:numId="23">
    <w:abstractNumId w:val="36"/>
  </w:num>
  <w:num w:numId="24">
    <w:abstractNumId w:val="23"/>
  </w:num>
  <w:num w:numId="25">
    <w:abstractNumId w:val="9"/>
  </w:num>
  <w:num w:numId="26">
    <w:abstractNumId w:val="13"/>
  </w:num>
  <w:num w:numId="27">
    <w:abstractNumId w:val="14"/>
  </w:num>
  <w:num w:numId="28">
    <w:abstractNumId w:val="33"/>
  </w:num>
  <w:num w:numId="29">
    <w:abstractNumId w:val="26"/>
  </w:num>
  <w:num w:numId="30">
    <w:abstractNumId w:val="18"/>
  </w:num>
  <w:num w:numId="31">
    <w:abstractNumId w:val="24"/>
  </w:num>
  <w:num w:numId="32">
    <w:abstractNumId w:val="29"/>
  </w:num>
  <w:num w:numId="33">
    <w:abstractNumId w:val="34"/>
  </w:num>
  <w:num w:numId="34">
    <w:abstractNumId w:val="15"/>
  </w:num>
  <w:num w:numId="35">
    <w:abstractNumId w:val="31"/>
  </w:num>
  <w:num w:numId="36">
    <w:abstractNumId w:val="3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43"/>
    <w:rsid w:val="00023A77"/>
    <w:rsid w:val="00034616"/>
    <w:rsid w:val="0004211F"/>
    <w:rsid w:val="00042D7A"/>
    <w:rsid w:val="000512B4"/>
    <w:rsid w:val="0006063C"/>
    <w:rsid w:val="00103B7C"/>
    <w:rsid w:val="0015074B"/>
    <w:rsid w:val="001E137F"/>
    <w:rsid w:val="002208D9"/>
    <w:rsid w:val="00226A48"/>
    <w:rsid w:val="0029639D"/>
    <w:rsid w:val="002A5C17"/>
    <w:rsid w:val="00326F90"/>
    <w:rsid w:val="0033687D"/>
    <w:rsid w:val="003B7109"/>
    <w:rsid w:val="003C4981"/>
    <w:rsid w:val="003D74CD"/>
    <w:rsid w:val="00483EF6"/>
    <w:rsid w:val="0049141C"/>
    <w:rsid w:val="00495597"/>
    <w:rsid w:val="004A5138"/>
    <w:rsid w:val="004B5D0B"/>
    <w:rsid w:val="004D03B6"/>
    <w:rsid w:val="004D3027"/>
    <w:rsid w:val="004F3D3F"/>
    <w:rsid w:val="0056148B"/>
    <w:rsid w:val="005712FD"/>
    <w:rsid w:val="00577CA9"/>
    <w:rsid w:val="00591BEF"/>
    <w:rsid w:val="005A0762"/>
    <w:rsid w:val="006235CD"/>
    <w:rsid w:val="006531F9"/>
    <w:rsid w:val="00695DDF"/>
    <w:rsid w:val="006D11BD"/>
    <w:rsid w:val="007271D9"/>
    <w:rsid w:val="007319B7"/>
    <w:rsid w:val="00751672"/>
    <w:rsid w:val="007613B7"/>
    <w:rsid w:val="007A0D79"/>
    <w:rsid w:val="007B7090"/>
    <w:rsid w:val="007D03B8"/>
    <w:rsid w:val="008020FE"/>
    <w:rsid w:val="00817B2B"/>
    <w:rsid w:val="00833083"/>
    <w:rsid w:val="008A1127"/>
    <w:rsid w:val="008F72F5"/>
    <w:rsid w:val="009355B7"/>
    <w:rsid w:val="00976717"/>
    <w:rsid w:val="009B4D61"/>
    <w:rsid w:val="009B7271"/>
    <w:rsid w:val="00A53DC4"/>
    <w:rsid w:val="00A55407"/>
    <w:rsid w:val="00AA1D8D"/>
    <w:rsid w:val="00AB31F4"/>
    <w:rsid w:val="00B07D5B"/>
    <w:rsid w:val="00B47730"/>
    <w:rsid w:val="00C87126"/>
    <w:rsid w:val="00CB0664"/>
    <w:rsid w:val="00CC17D4"/>
    <w:rsid w:val="00D57597"/>
    <w:rsid w:val="00D83365"/>
    <w:rsid w:val="00D838A3"/>
    <w:rsid w:val="00DB6171"/>
    <w:rsid w:val="00E066E8"/>
    <w:rsid w:val="00E73F04"/>
    <w:rsid w:val="00E952ED"/>
    <w:rsid w:val="00EC039D"/>
    <w:rsid w:val="00F11B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A05AB"/>
  <w14:defaultImageDpi w14:val="330"/>
  <w15:docId w15:val="{899DA0E4-1152-4B56-9AE3-E5528084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footnote text"/>
    <w:basedOn w:val="a1"/>
    <w:link w:val="affb"/>
    <w:uiPriority w:val="99"/>
    <w:semiHidden/>
    <w:unhideWhenUsed/>
    <w:rsid w:val="005712FD"/>
    <w:pPr>
      <w:snapToGrid w:val="0"/>
    </w:pPr>
    <w:rPr>
      <w:sz w:val="20"/>
      <w:szCs w:val="20"/>
    </w:rPr>
  </w:style>
  <w:style w:type="character" w:customStyle="1" w:styleId="affb">
    <w:name w:val="註腳文字 字元"/>
    <w:basedOn w:val="a2"/>
    <w:link w:val="affa"/>
    <w:uiPriority w:val="99"/>
    <w:semiHidden/>
    <w:rsid w:val="005712FD"/>
    <w:rPr>
      <w:rFonts w:ascii="Calibri" w:hAnsi="Calibri"/>
      <w:sz w:val="20"/>
      <w:szCs w:val="20"/>
    </w:rPr>
  </w:style>
  <w:style w:type="character" w:styleId="affc">
    <w:name w:val="footnote reference"/>
    <w:basedOn w:val="a2"/>
    <w:uiPriority w:val="99"/>
    <w:semiHidden/>
    <w:unhideWhenUsed/>
    <w:rsid w:val="005712FD"/>
    <w:rPr>
      <w:vertAlign w:val="superscript"/>
    </w:rPr>
  </w:style>
  <w:style w:type="character" w:styleId="affd">
    <w:name w:val="Hyperlink"/>
    <w:basedOn w:val="a2"/>
    <w:uiPriority w:val="99"/>
    <w:unhideWhenUsed/>
    <w:rsid w:val="00A53DC4"/>
    <w:rPr>
      <w:color w:val="0000FF" w:themeColor="hyperlink"/>
      <w:u w:val="single"/>
    </w:rPr>
  </w:style>
  <w:style w:type="character" w:styleId="affe">
    <w:name w:val="Unresolved Mention"/>
    <w:basedOn w:val="a2"/>
    <w:uiPriority w:val="99"/>
    <w:semiHidden/>
    <w:unhideWhenUsed/>
    <w:rsid w:val="00A5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577">
      <w:bodyDiv w:val="1"/>
      <w:marLeft w:val="0"/>
      <w:marRight w:val="0"/>
      <w:marTop w:val="0"/>
      <w:marBottom w:val="0"/>
      <w:divBdr>
        <w:top w:val="none" w:sz="0" w:space="0" w:color="auto"/>
        <w:left w:val="none" w:sz="0" w:space="0" w:color="auto"/>
        <w:bottom w:val="none" w:sz="0" w:space="0" w:color="auto"/>
        <w:right w:val="none" w:sz="0" w:space="0" w:color="auto"/>
      </w:divBdr>
      <w:divsChild>
        <w:div w:id="485977793">
          <w:marLeft w:val="0"/>
          <w:marRight w:val="0"/>
          <w:marTop w:val="0"/>
          <w:marBottom w:val="0"/>
          <w:divBdr>
            <w:top w:val="single" w:sz="2" w:space="0" w:color="auto"/>
            <w:left w:val="single" w:sz="2" w:space="0" w:color="auto"/>
            <w:bottom w:val="single" w:sz="2" w:space="0" w:color="auto"/>
            <w:right w:val="single" w:sz="2" w:space="0" w:color="auto"/>
          </w:divBdr>
          <w:divsChild>
            <w:div w:id="117190533">
              <w:marLeft w:val="0"/>
              <w:marRight w:val="0"/>
              <w:marTop w:val="0"/>
              <w:marBottom w:val="0"/>
              <w:divBdr>
                <w:top w:val="single" w:sz="2" w:space="0" w:color="auto"/>
                <w:left w:val="single" w:sz="2" w:space="0" w:color="auto"/>
                <w:bottom w:val="single" w:sz="2" w:space="0" w:color="auto"/>
                <w:right w:val="single" w:sz="2" w:space="0" w:color="auto"/>
              </w:divBdr>
              <w:divsChild>
                <w:div w:id="1146818988">
                  <w:marLeft w:val="0"/>
                  <w:marRight w:val="0"/>
                  <w:marTop w:val="480"/>
                  <w:marBottom w:val="0"/>
                  <w:divBdr>
                    <w:top w:val="single" w:sz="2" w:space="0" w:color="auto"/>
                    <w:left w:val="single" w:sz="2" w:space="0" w:color="auto"/>
                    <w:bottom w:val="single" w:sz="2" w:space="0" w:color="auto"/>
                    <w:right w:val="single" w:sz="2" w:space="0" w:color="auto"/>
                  </w:divBdr>
                  <w:divsChild>
                    <w:div w:id="979074025">
                      <w:marLeft w:val="0"/>
                      <w:marRight w:val="0"/>
                      <w:marTop w:val="0"/>
                      <w:marBottom w:val="0"/>
                      <w:divBdr>
                        <w:top w:val="single" w:sz="2" w:space="0" w:color="auto"/>
                        <w:left w:val="single" w:sz="2" w:space="0" w:color="auto"/>
                        <w:bottom w:val="single" w:sz="2" w:space="0" w:color="auto"/>
                        <w:right w:val="single" w:sz="2" w:space="0" w:color="auto"/>
                      </w:divBdr>
                      <w:divsChild>
                        <w:div w:id="1548643877">
                          <w:marLeft w:val="0"/>
                          <w:marRight w:val="0"/>
                          <w:marTop w:val="0"/>
                          <w:marBottom w:val="0"/>
                          <w:divBdr>
                            <w:top w:val="single" w:sz="2" w:space="0" w:color="auto"/>
                            <w:left w:val="single" w:sz="2" w:space="0" w:color="auto"/>
                            <w:bottom w:val="single" w:sz="2" w:space="0" w:color="auto"/>
                            <w:right w:val="single" w:sz="2" w:space="0" w:color="auto"/>
                          </w:divBdr>
                          <w:divsChild>
                            <w:div w:id="383332444">
                              <w:marLeft w:val="0"/>
                              <w:marRight w:val="0"/>
                              <w:marTop w:val="0"/>
                              <w:marBottom w:val="0"/>
                              <w:divBdr>
                                <w:top w:val="single" w:sz="2" w:space="0" w:color="auto"/>
                                <w:left w:val="single" w:sz="2" w:space="0" w:color="auto"/>
                                <w:bottom w:val="single" w:sz="2" w:space="0" w:color="auto"/>
                                <w:right w:val="single" w:sz="2" w:space="0" w:color="auto"/>
                              </w:divBdr>
                              <w:divsChild>
                                <w:div w:id="323824647">
                                  <w:marLeft w:val="0"/>
                                  <w:marRight w:val="0"/>
                                  <w:marTop w:val="0"/>
                                  <w:marBottom w:val="0"/>
                                  <w:divBdr>
                                    <w:top w:val="single" w:sz="2" w:space="0" w:color="auto"/>
                                    <w:left w:val="single" w:sz="2" w:space="0" w:color="auto"/>
                                    <w:bottom w:val="single" w:sz="2" w:space="0" w:color="auto"/>
                                    <w:right w:val="single" w:sz="2" w:space="0" w:color="auto"/>
                                  </w:divBdr>
                                  <w:divsChild>
                                    <w:div w:id="1336346835">
                                      <w:marLeft w:val="0"/>
                                      <w:marRight w:val="0"/>
                                      <w:marTop w:val="0"/>
                                      <w:marBottom w:val="0"/>
                                      <w:divBdr>
                                        <w:top w:val="single" w:sz="2" w:space="0" w:color="auto"/>
                                        <w:left w:val="single" w:sz="2" w:space="0" w:color="auto"/>
                                        <w:bottom w:val="single" w:sz="2" w:space="0" w:color="auto"/>
                                        <w:right w:val="single" w:sz="2" w:space="0" w:color="auto"/>
                                      </w:divBdr>
                                      <w:divsChild>
                                        <w:div w:id="426658570">
                                          <w:marLeft w:val="0"/>
                                          <w:marRight w:val="0"/>
                                          <w:marTop w:val="0"/>
                                          <w:marBottom w:val="0"/>
                                          <w:divBdr>
                                            <w:top w:val="single" w:sz="2" w:space="0" w:color="auto"/>
                                            <w:left w:val="single" w:sz="2" w:space="0" w:color="auto"/>
                                            <w:bottom w:val="single" w:sz="2" w:space="0" w:color="auto"/>
                                            <w:right w:val="single" w:sz="2" w:space="0" w:color="auto"/>
                                          </w:divBdr>
                                          <w:divsChild>
                                            <w:div w:id="2091461999">
                                              <w:marLeft w:val="0"/>
                                              <w:marRight w:val="0"/>
                                              <w:marTop w:val="0"/>
                                              <w:marBottom w:val="0"/>
                                              <w:divBdr>
                                                <w:top w:val="single" w:sz="2" w:space="0" w:color="auto"/>
                                                <w:left w:val="single" w:sz="2" w:space="0" w:color="auto"/>
                                                <w:bottom w:val="single" w:sz="2" w:space="0" w:color="auto"/>
                                                <w:right w:val="single" w:sz="2" w:space="0" w:color="auto"/>
                                              </w:divBdr>
                                              <w:divsChild>
                                                <w:div w:id="1701470979">
                                                  <w:marLeft w:val="0"/>
                                                  <w:marRight w:val="0"/>
                                                  <w:marTop w:val="0"/>
                                                  <w:marBottom w:val="0"/>
                                                  <w:divBdr>
                                                    <w:top w:val="single" w:sz="2" w:space="0" w:color="auto"/>
                                                    <w:left w:val="single" w:sz="2" w:space="0" w:color="auto"/>
                                                    <w:bottom w:val="single" w:sz="2" w:space="0" w:color="auto"/>
                                                    <w:right w:val="single" w:sz="2" w:space="0" w:color="auto"/>
                                                  </w:divBdr>
                                                  <w:divsChild>
                                                    <w:div w:id="2083289529">
                                                      <w:marLeft w:val="0"/>
                                                      <w:marRight w:val="0"/>
                                                      <w:marTop w:val="0"/>
                                                      <w:marBottom w:val="0"/>
                                                      <w:divBdr>
                                                        <w:top w:val="single" w:sz="2" w:space="0" w:color="auto"/>
                                                        <w:left w:val="single" w:sz="2" w:space="0" w:color="auto"/>
                                                        <w:bottom w:val="single" w:sz="2" w:space="0" w:color="auto"/>
                                                        <w:right w:val="single" w:sz="2" w:space="0" w:color="auto"/>
                                                      </w:divBdr>
                                                      <w:divsChild>
                                                        <w:div w:id="365567478">
                                                          <w:marLeft w:val="0"/>
                                                          <w:marRight w:val="0"/>
                                                          <w:marTop w:val="0"/>
                                                          <w:marBottom w:val="0"/>
                                                          <w:divBdr>
                                                            <w:top w:val="single" w:sz="2" w:space="0" w:color="auto"/>
                                                            <w:left w:val="single" w:sz="2" w:space="0" w:color="auto"/>
                                                            <w:bottom w:val="single" w:sz="2" w:space="0" w:color="auto"/>
                                                            <w:right w:val="single" w:sz="2" w:space="0" w:color="auto"/>
                                                          </w:divBdr>
                                                          <w:divsChild>
                                                            <w:div w:id="881869048">
                                                              <w:marLeft w:val="0"/>
                                                              <w:marRight w:val="0"/>
                                                              <w:marTop w:val="0"/>
                                                              <w:marBottom w:val="0"/>
                                                              <w:divBdr>
                                                                <w:top w:val="single" w:sz="2" w:space="0" w:color="auto"/>
                                                                <w:left w:val="single" w:sz="2" w:space="0" w:color="auto"/>
                                                                <w:bottom w:val="single" w:sz="2" w:space="0" w:color="auto"/>
                                                                <w:right w:val="single" w:sz="2" w:space="0" w:color="auto"/>
                                                              </w:divBdr>
                                                              <w:divsChild>
                                                                <w:div w:id="884365603">
                                                                  <w:marLeft w:val="0"/>
                                                                  <w:marRight w:val="0"/>
                                                                  <w:marTop w:val="0"/>
                                                                  <w:marBottom w:val="0"/>
                                                                  <w:divBdr>
                                                                    <w:top w:val="single" w:sz="2" w:space="0" w:color="auto"/>
                                                                    <w:left w:val="single" w:sz="2" w:space="0" w:color="auto"/>
                                                                    <w:bottom w:val="single" w:sz="2" w:space="0" w:color="auto"/>
                                                                    <w:right w:val="single" w:sz="2" w:space="0" w:color="auto"/>
                                                                  </w:divBdr>
                                                                  <w:divsChild>
                                                                    <w:div w:id="1941646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0996489">
      <w:bodyDiv w:val="1"/>
      <w:marLeft w:val="0"/>
      <w:marRight w:val="0"/>
      <w:marTop w:val="0"/>
      <w:marBottom w:val="0"/>
      <w:divBdr>
        <w:top w:val="none" w:sz="0" w:space="0" w:color="auto"/>
        <w:left w:val="none" w:sz="0" w:space="0" w:color="auto"/>
        <w:bottom w:val="none" w:sz="0" w:space="0" w:color="auto"/>
        <w:right w:val="none" w:sz="0" w:space="0" w:color="auto"/>
      </w:divBdr>
    </w:div>
    <w:div w:id="2059166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pad.taip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11</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generated by python-docx</dc:description>
  <cp:lastModifiedBy>洪薇婷</cp:lastModifiedBy>
  <cp:revision>20</cp:revision>
  <dcterms:created xsi:type="dcterms:W3CDTF">2026-02-24T01:39:00Z</dcterms:created>
  <dcterms:modified xsi:type="dcterms:W3CDTF">2026-04-08T03:47:00Z</dcterms:modified>
  <cp:category/>
</cp:coreProperties>
</file>